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D9" w:rsidRPr="00E207D9" w:rsidRDefault="00E207D9" w:rsidP="00E207D9">
      <w:pPr>
        <w:widowControl/>
        <w:spacing w:before="100" w:beforeAutospacing="1" w:after="100" w:afterAutospacing="1" w:line="432" w:lineRule="auto"/>
        <w:jc w:val="center"/>
        <w:rPr>
          <w:rFonts w:ascii="宋体" w:eastAsia="宋体" w:hAnsi="宋体" w:cs="宋体"/>
          <w:color w:val="000000"/>
          <w:kern w:val="0"/>
          <w:sz w:val="24"/>
          <w:szCs w:val="24"/>
        </w:rPr>
      </w:pPr>
      <w:r w:rsidRPr="00E207D9">
        <w:rPr>
          <w:rFonts w:ascii="宋体" w:eastAsia="宋体" w:hAnsi="宋体" w:cs="宋体" w:hint="eastAsia"/>
          <w:b/>
          <w:bCs/>
          <w:color w:val="000000"/>
          <w:kern w:val="0"/>
          <w:sz w:val="36"/>
        </w:rPr>
        <w:t>国务院办公厅关于印发“十二五”全国城镇生活垃圾无害化处理设施建设规划的通知</w:t>
      </w:r>
      <w:r w:rsidRPr="00E207D9">
        <w:rPr>
          <w:rFonts w:ascii="宋体" w:eastAsia="宋体" w:hAnsi="宋体" w:cs="宋体" w:hint="eastAsia"/>
          <w:color w:val="000000"/>
          <w:kern w:val="0"/>
          <w:sz w:val="24"/>
          <w:szCs w:val="24"/>
        </w:rPr>
        <w:br/>
      </w:r>
      <w:r w:rsidRPr="00E207D9">
        <w:rPr>
          <w:rFonts w:ascii="楷体_GB2312" w:eastAsia="楷体_GB2312" w:hAnsi="宋体" w:cs="宋体" w:hint="eastAsia"/>
          <w:color w:val="000000"/>
          <w:kern w:val="0"/>
          <w:sz w:val="24"/>
          <w:szCs w:val="24"/>
        </w:rPr>
        <w:t>国办发〔2012〕23号</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各省、自治区、直辖市人民政府，国务院各部委、各直属机构：</w:t>
      </w:r>
      <w:r w:rsidRPr="00E207D9">
        <w:rPr>
          <w:rFonts w:ascii="宋体" w:eastAsia="宋体" w:hAnsi="宋体" w:cs="宋体" w:hint="eastAsia"/>
          <w:color w:val="000000"/>
          <w:kern w:val="0"/>
          <w:sz w:val="24"/>
          <w:szCs w:val="24"/>
        </w:rPr>
        <w:br/>
        <w:t xml:space="preserve">　　《“十二五”全国城镇生活垃圾无害化处理设施建设规划》已经国务院同意，现印发给你们，请认真贯彻执行。</w:t>
      </w:r>
      <w:r w:rsidRPr="00E207D9">
        <w:rPr>
          <w:rFonts w:ascii="宋体" w:eastAsia="宋体" w:hAnsi="宋体" w:cs="宋体" w:hint="eastAsia"/>
          <w:color w:val="000000"/>
          <w:kern w:val="0"/>
          <w:sz w:val="24"/>
          <w:szCs w:val="24"/>
        </w:rPr>
        <w:br/>
        <w:t xml:space="preserve">　　　　　　　　　　　　　　　　　　　　　　　　　　  　 　国务院办公厅</w:t>
      </w:r>
      <w:r w:rsidRPr="00E207D9">
        <w:rPr>
          <w:rFonts w:ascii="宋体" w:eastAsia="宋体" w:hAnsi="宋体" w:cs="宋体" w:hint="eastAsia"/>
          <w:color w:val="000000"/>
          <w:kern w:val="0"/>
          <w:sz w:val="24"/>
          <w:szCs w:val="24"/>
        </w:rPr>
        <w:br/>
        <w:t xml:space="preserve">　　　　　　　　　　　　　　　　　　　　　　　　　   　二○一二年四月十九日</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36"/>
        </w:rPr>
        <w:t>“十二五”全国城镇</w:t>
      </w:r>
      <w:r w:rsidRPr="00E207D9">
        <w:rPr>
          <w:rFonts w:ascii="宋体" w:eastAsia="宋体" w:hAnsi="宋体" w:cs="宋体" w:hint="eastAsia"/>
          <w:b/>
          <w:bCs/>
          <w:color w:val="000000"/>
          <w:kern w:val="0"/>
          <w:sz w:val="36"/>
          <w:szCs w:val="36"/>
        </w:rPr>
        <w:br/>
      </w:r>
      <w:r w:rsidRPr="00E207D9">
        <w:rPr>
          <w:rFonts w:ascii="宋体" w:eastAsia="宋体" w:hAnsi="宋体" w:cs="宋体" w:hint="eastAsia"/>
          <w:b/>
          <w:bCs/>
          <w:color w:val="000000"/>
          <w:kern w:val="0"/>
          <w:sz w:val="36"/>
        </w:rPr>
        <w:t>生活垃圾无害化处理设施建设规划</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xml:space="preserve">　　为提高城镇生活垃圾无害化处理水平，切实改善人居环境，根据我国城镇生活垃圾处理设施建设工作现状，发展改革委、住房城乡建设部、环境保护部组织编制了《“十二五”全国城镇生活垃圾无害化处理设施建设规划》（以下简称《规划》）。</w:t>
      </w:r>
      <w:r w:rsidRPr="00E207D9">
        <w:rPr>
          <w:rFonts w:ascii="宋体" w:eastAsia="宋体" w:hAnsi="宋体" w:cs="宋体" w:hint="eastAsia"/>
          <w:color w:val="000000"/>
          <w:kern w:val="0"/>
          <w:sz w:val="24"/>
          <w:szCs w:val="24"/>
        </w:rPr>
        <w:br/>
        <w:t xml:space="preserve">　　《规划》主要阐明“十二五”时期全国城镇生活垃圾无害化处理设施建设的目标、主要任务和保障措施，明确政府工作重点，是落实《中华人民共和国国民经济和社会发展第十二个五年规划纲要》和《国务院批转住房城乡建设部等部门关于进一步加强城市生活垃圾处理工作意见的通知》（国发〔2011〕9号）的重要支撑，是指导各地加快生活垃圾无害化处理设施建设和安排投资的重要依据。</w:t>
      </w:r>
      <w:r w:rsidRPr="00E207D9">
        <w:rPr>
          <w:rFonts w:ascii="宋体" w:eastAsia="宋体" w:hAnsi="宋体" w:cs="宋体" w:hint="eastAsia"/>
          <w:color w:val="000000"/>
          <w:kern w:val="0"/>
          <w:sz w:val="24"/>
          <w:szCs w:val="24"/>
        </w:rPr>
        <w:br/>
      </w:r>
      <w:r w:rsidRPr="00E207D9">
        <w:rPr>
          <w:rFonts w:ascii="宋体" w:eastAsia="宋体" w:hAnsi="宋体" w:cs="宋体" w:hint="eastAsia"/>
          <w:color w:val="000000"/>
          <w:kern w:val="0"/>
          <w:sz w:val="24"/>
          <w:szCs w:val="24"/>
        </w:rPr>
        <w:lastRenderedPageBreak/>
        <w:t xml:space="preserve">　　规划范围包括全国所有设市城市、县城（港澳台地区除外），并通过以城带乡、设施共享等多种方式服务于常住人口3万人以上的建制镇。</w:t>
      </w:r>
      <w:r w:rsidRPr="00E207D9">
        <w:rPr>
          <w:rFonts w:ascii="宋体" w:eastAsia="宋体" w:hAnsi="宋体" w:cs="宋体" w:hint="eastAsia"/>
          <w:color w:val="000000"/>
          <w:kern w:val="0"/>
          <w:sz w:val="24"/>
          <w:szCs w:val="24"/>
        </w:rPr>
        <w:br/>
        <w:t xml:space="preserve">　　城镇生活垃圾处理是城镇管理和环境保护的重要内容，是社会文明程度的重要标志，关系人民群众的切身利益。近年来，我国城镇生活垃圾收运网络日趋完善，生活垃圾处理设施数量和能力快速增长，城镇环境总体上有了较大改善。截至2010年底，全国设市城市和县城生活垃圾年清运量2.21亿吨，生活垃圾无害化处理率63.5%，其中设市城市77.9%，县城27.4%。</w:t>
      </w:r>
      <w:r w:rsidRPr="00E207D9">
        <w:rPr>
          <w:rFonts w:ascii="宋体" w:eastAsia="宋体" w:hAnsi="宋体" w:cs="宋体" w:hint="eastAsia"/>
          <w:color w:val="000000"/>
          <w:kern w:val="0"/>
          <w:sz w:val="24"/>
          <w:szCs w:val="24"/>
        </w:rPr>
        <w:br/>
        <w:t xml:space="preserve">　　但也要看到，由于城镇化快速发展，生活垃圾激增，垃圾处理能力相对不足，一些城市面临“垃圾围城”的困境。同时，部分处理设施建设水平和运行质量不高，配套设施不齐全，存在污染隐患，影响城镇环境和社会稳定。为此，应在“十一五”有关工作取得积极成效的基础上，及时把握国家高度重视、资金投入力度加大、激励约束机制日益完善、装备支撑显著增强、节能环保产业快速发展的有利时机，精心组织、科学谋划，加快推进处理设施建设，不断提高设施运营水平。</w:t>
      </w:r>
      <w:r w:rsidRPr="00E207D9">
        <w:rPr>
          <w:rFonts w:ascii="宋体" w:eastAsia="宋体" w:hAnsi="宋体" w:cs="宋体" w:hint="eastAsia"/>
          <w:color w:val="000000"/>
          <w:kern w:val="0"/>
          <w:sz w:val="24"/>
          <w:szCs w:val="24"/>
        </w:rPr>
        <w:br/>
        <w:t xml:space="preserve">　　</w:t>
      </w:r>
      <w:r w:rsidRPr="00E207D9">
        <w:rPr>
          <w:rFonts w:ascii="宋体" w:eastAsia="宋体" w:hAnsi="宋体" w:cs="宋体" w:hint="eastAsia"/>
          <w:b/>
          <w:bCs/>
          <w:color w:val="000000"/>
          <w:kern w:val="0"/>
          <w:sz w:val="24"/>
          <w:szCs w:val="24"/>
        </w:rPr>
        <w:t>一、指导思想、基本原则和主要目标</w:t>
      </w:r>
      <w:r w:rsidRPr="00E207D9">
        <w:rPr>
          <w:rFonts w:ascii="宋体" w:eastAsia="宋体" w:hAnsi="宋体" w:cs="宋体" w:hint="eastAsia"/>
          <w:color w:val="000000"/>
          <w:kern w:val="0"/>
          <w:sz w:val="24"/>
          <w:szCs w:val="24"/>
        </w:rPr>
        <w:br/>
        <w:t xml:space="preserve">　　（一）指导思想。</w:t>
      </w:r>
      <w:r w:rsidRPr="00E207D9">
        <w:rPr>
          <w:rFonts w:ascii="宋体" w:eastAsia="宋体" w:hAnsi="宋体" w:cs="宋体" w:hint="eastAsia"/>
          <w:color w:val="000000"/>
          <w:kern w:val="0"/>
          <w:sz w:val="24"/>
          <w:szCs w:val="24"/>
        </w:rPr>
        <w:br/>
        <w:t xml:space="preserve">　　以邓小平理论和“三个代表”思想为指导，深入贯彻落实科学发展观，按照全面建设小康社会和构建社会主义和谐社会的总体要求，强化政府责任，履行公共服务职能，统筹规划，突出重点，强化保障措施，加快推进全国城镇生活垃圾无害化处理设施建设，提高处理能力，提升运营水平，努力创造良好的人居环境，促进可持续发展。</w:t>
      </w:r>
      <w:r w:rsidRPr="00E207D9">
        <w:rPr>
          <w:rFonts w:ascii="宋体" w:eastAsia="宋体" w:hAnsi="宋体" w:cs="宋体" w:hint="eastAsia"/>
          <w:color w:val="000000"/>
          <w:kern w:val="0"/>
          <w:sz w:val="24"/>
          <w:szCs w:val="24"/>
        </w:rPr>
        <w:br/>
        <w:t xml:space="preserve">　　（二）基本原则。</w:t>
      </w:r>
      <w:r w:rsidRPr="00E207D9">
        <w:rPr>
          <w:rFonts w:ascii="宋体" w:eastAsia="宋体" w:hAnsi="宋体" w:cs="宋体" w:hint="eastAsia"/>
          <w:color w:val="000000"/>
          <w:kern w:val="0"/>
          <w:sz w:val="24"/>
          <w:szCs w:val="24"/>
        </w:rPr>
        <w:br/>
        <w:t xml:space="preserve">　　政府主导，社会参与。强化政府责任，加大公共财政投入，完善财税优惠政策；引入市场机制，充分调动社会资金参与生活垃圾处理设施建设和运营的积极性；加强宣传引导，树立“垃圾处理、人人有责”的观念，鼓励全民参与生活垃圾分类和处理工作。</w:t>
      </w:r>
      <w:r w:rsidRPr="00E207D9">
        <w:rPr>
          <w:rFonts w:ascii="宋体" w:eastAsia="宋体" w:hAnsi="宋体" w:cs="宋体" w:hint="eastAsia"/>
          <w:color w:val="000000"/>
          <w:kern w:val="0"/>
          <w:sz w:val="24"/>
          <w:szCs w:val="24"/>
        </w:rPr>
        <w:br/>
      </w:r>
      <w:r w:rsidRPr="00E207D9">
        <w:rPr>
          <w:rFonts w:ascii="宋体" w:eastAsia="宋体" w:hAnsi="宋体" w:cs="宋体" w:hint="eastAsia"/>
          <w:color w:val="000000"/>
          <w:kern w:val="0"/>
          <w:sz w:val="24"/>
          <w:szCs w:val="24"/>
        </w:rPr>
        <w:lastRenderedPageBreak/>
        <w:t xml:space="preserve">　　全面推进，重点突破。全面推进城镇生活垃圾处理设施建设，逐步缩小区域间基本公共服务差距，提升基本公共服务水平。以大中城市为重点，推进生活垃圾分类、存量治理等工作，发挥引导示范作用。</w:t>
      </w:r>
      <w:r w:rsidRPr="00E207D9">
        <w:rPr>
          <w:rFonts w:ascii="宋体" w:eastAsia="宋体" w:hAnsi="宋体" w:cs="宋体" w:hint="eastAsia"/>
          <w:color w:val="000000"/>
          <w:kern w:val="0"/>
          <w:sz w:val="24"/>
          <w:szCs w:val="24"/>
        </w:rPr>
        <w:br/>
        <w:t xml:space="preserve">　　因地制宜，科学引导。考虑不同地区的实际情况，加强分类指导，坚持集中处理与分散处理相结合。按照“减量化、资源化、无害化”的原则，因地制宜地选择先进适用的技术，有条件的地区应优先采用焚烧等资源化处理技术。</w:t>
      </w:r>
      <w:r w:rsidRPr="00E207D9">
        <w:rPr>
          <w:rFonts w:ascii="宋体" w:eastAsia="宋体" w:hAnsi="宋体" w:cs="宋体" w:hint="eastAsia"/>
          <w:color w:val="000000"/>
          <w:kern w:val="0"/>
          <w:sz w:val="24"/>
          <w:szCs w:val="24"/>
        </w:rPr>
        <w:br/>
        <w:t xml:space="preserve">　　城乡统筹，区域共享。通过以城带乡、设施共享等形式，逐步将生活垃圾无害化处理设施服务范围扩展至周边地区，鼓励跨行政区域共建共享处理设施。</w:t>
      </w:r>
      <w:r w:rsidRPr="00E207D9">
        <w:rPr>
          <w:rFonts w:ascii="宋体" w:eastAsia="宋体" w:hAnsi="宋体" w:cs="宋体" w:hint="eastAsia"/>
          <w:color w:val="000000"/>
          <w:kern w:val="0"/>
          <w:sz w:val="24"/>
          <w:szCs w:val="24"/>
        </w:rPr>
        <w:br/>
        <w:t xml:space="preserve">　　（三）主要目标。</w:t>
      </w:r>
      <w:r w:rsidRPr="00E207D9">
        <w:rPr>
          <w:rFonts w:ascii="宋体" w:eastAsia="宋体" w:hAnsi="宋体" w:cs="宋体" w:hint="eastAsia"/>
          <w:color w:val="000000"/>
          <w:kern w:val="0"/>
          <w:sz w:val="24"/>
          <w:szCs w:val="24"/>
        </w:rPr>
        <w:br/>
        <w:t xml:space="preserve">　　——到2015年，直辖市、省会城市和计划单列市生活垃圾全部实现无害化处理，设市城市生活垃圾无害化处理率达到90%以上，县县具备垃圾无害化处理能力，县城生活垃圾无害化处理率达到70%以上，全国城镇新增生活垃圾无害化处理设施能力58万吨/日。</w:t>
      </w:r>
      <w:r w:rsidRPr="00E207D9">
        <w:rPr>
          <w:rFonts w:ascii="宋体" w:eastAsia="宋体" w:hAnsi="宋体" w:cs="宋体" w:hint="eastAsia"/>
          <w:color w:val="000000"/>
          <w:kern w:val="0"/>
          <w:sz w:val="24"/>
          <w:szCs w:val="24"/>
        </w:rPr>
        <w:br/>
        <w:t xml:space="preserve">　　——到2015年，全国城镇生活垃圾焚烧处理设施能力达到无害化处理总能力的35%以上，其中东部地区达到48%以上。</w:t>
      </w:r>
      <w:r w:rsidRPr="00E207D9">
        <w:rPr>
          <w:rFonts w:ascii="宋体" w:eastAsia="宋体" w:hAnsi="宋体" w:cs="宋体" w:hint="eastAsia"/>
          <w:color w:val="000000"/>
          <w:kern w:val="0"/>
          <w:sz w:val="24"/>
          <w:szCs w:val="24"/>
        </w:rPr>
        <w:br/>
        <w:t xml:space="preserve">　　——到2015年，全面推进生活垃圾分类试点，在50%的设区城市初步实现餐厨垃圾分类收运处理，各省（区、市）建成一个以上生活垃圾分类示范城市。</w:t>
      </w:r>
      <w:r w:rsidRPr="00E207D9">
        <w:rPr>
          <w:rFonts w:ascii="宋体" w:eastAsia="宋体" w:hAnsi="宋体" w:cs="宋体" w:hint="eastAsia"/>
          <w:color w:val="000000"/>
          <w:kern w:val="0"/>
          <w:sz w:val="24"/>
          <w:szCs w:val="24"/>
        </w:rPr>
        <w:br/>
        <w:t xml:space="preserve">　　——到2015年，建立完善的城镇生活垃圾处理监管体系。</w:t>
      </w:r>
      <w:r w:rsidRPr="00E207D9">
        <w:rPr>
          <w:rFonts w:ascii="宋体" w:eastAsia="宋体" w:hAnsi="宋体" w:cs="宋体" w:hint="eastAsia"/>
          <w:color w:val="000000"/>
          <w:kern w:val="0"/>
          <w:sz w:val="24"/>
          <w:szCs w:val="24"/>
        </w:rPr>
        <w:br/>
        <w:t xml:space="preserve">　　</w:t>
      </w:r>
      <w:r w:rsidRPr="00E207D9">
        <w:rPr>
          <w:rFonts w:ascii="宋体" w:eastAsia="宋体" w:hAnsi="宋体" w:cs="宋体" w:hint="eastAsia"/>
          <w:b/>
          <w:bCs/>
          <w:color w:val="000000"/>
          <w:kern w:val="0"/>
          <w:sz w:val="24"/>
          <w:szCs w:val="24"/>
        </w:rPr>
        <w:t>二、主要任务</w:t>
      </w:r>
      <w:r w:rsidRPr="00E207D9">
        <w:rPr>
          <w:rFonts w:ascii="宋体" w:eastAsia="宋体" w:hAnsi="宋体" w:cs="宋体" w:hint="eastAsia"/>
          <w:color w:val="000000"/>
          <w:kern w:val="0"/>
          <w:sz w:val="24"/>
          <w:szCs w:val="24"/>
        </w:rPr>
        <w:br/>
        <w:t xml:space="preserve">　　（一）加快处理设施建设。</w:t>
      </w:r>
      <w:r w:rsidRPr="00E207D9">
        <w:rPr>
          <w:rFonts w:ascii="宋体" w:eastAsia="宋体" w:hAnsi="宋体" w:cs="宋体" w:hint="eastAsia"/>
          <w:color w:val="000000"/>
          <w:kern w:val="0"/>
          <w:sz w:val="24"/>
          <w:szCs w:val="24"/>
        </w:rPr>
        <w:br/>
        <w:t xml:space="preserve">　　1.建设任务。加大城镇生活垃圾无害化处理设施建设力度，加快完善大中城市生活垃圾处理设施，大力推进县城生活垃圾无害化处理设施建设，优先支持目前尚未建成设施的城市和县城加快建设，缩小不同地区生活垃圾处理水平的差距，促进协调发展。各省（区、市）及计划单列市要依托生活垃圾无害化处理设施，建成一个以上宣传教育基地。</w:t>
      </w:r>
      <w:r w:rsidRPr="00E207D9">
        <w:rPr>
          <w:rFonts w:ascii="宋体" w:eastAsia="宋体" w:hAnsi="宋体" w:cs="宋体" w:hint="eastAsia"/>
          <w:color w:val="000000"/>
          <w:kern w:val="0"/>
          <w:sz w:val="24"/>
          <w:szCs w:val="24"/>
        </w:rPr>
        <w:br/>
      </w:r>
      <w:r w:rsidRPr="00E207D9">
        <w:rPr>
          <w:rFonts w:ascii="宋体" w:eastAsia="宋体" w:hAnsi="宋体" w:cs="宋体" w:hint="eastAsia"/>
          <w:color w:val="000000"/>
          <w:kern w:val="0"/>
          <w:sz w:val="24"/>
          <w:szCs w:val="24"/>
        </w:rPr>
        <w:lastRenderedPageBreak/>
        <w:t xml:space="preserve">　　“十二五”期间，规划新增生活垃圾无害化处理能力58万吨/日，其中，设市城市新增能力39.8万吨/日，县城新增能力18.2万吨/日。到2015年，全国形成城镇生活垃圾无害化处理能力87.1万吨/日，基本形成与生活垃圾产生量相匹配的无害化处理能力规模，其中，设市城市处理能力65.3万吨/日，县城处理能力21.8万吨/日；生活垃圾无害化处理能力中选用焚烧技术的达到35%，东部地区选用焚烧技术达到48%。</w:t>
      </w:r>
      <w:r w:rsidRPr="00E207D9">
        <w:rPr>
          <w:rFonts w:ascii="宋体" w:eastAsia="宋体" w:hAnsi="宋体" w:cs="宋体" w:hint="eastAsia"/>
          <w:color w:val="000000"/>
          <w:kern w:val="0"/>
          <w:sz w:val="24"/>
          <w:szCs w:val="24"/>
        </w:rPr>
        <w:br/>
        <w:t xml:space="preserve">　　2.建设要求。生活垃圾处理设施的建设和运营，要严格执行相关建设标准、技术标准和环保标准，配备完善的污染控制及监控设施。</w:t>
      </w:r>
      <w:r w:rsidRPr="00E207D9">
        <w:rPr>
          <w:rFonts w:ascii="宋体" w:eastAsia="宋体" w:hAnsi="宋体" w:cs="宋体" w:hint="eastAsia"/>
          <w:color w:val="000000"/>
          <w:kern w:val="0"/>
          <w:sz w:val="24"/>
          <w:szCs w:val="24"/>
        </w:rPr>
        <w:br/>
        <w:t xml:space="preserve">　　生活垃圾处理技术的选择，应本着因地制宜的原则，坚持资源化优先，选择安全可靠、先进环保、省地节能、经济适用的处理技术。东部地区、经济发达地区和土地资源短缺、人口基数大的城市，要减少原生生活垃圾填埋量，优先采用焚烧处理技术；其他具备条件的地区，可通过区域共建共享等方式采用焚烧处理技术。卫生填埋处理技术作为生活垃圾的最终处置方式是每个地区所必须具备的保障手段，在具备卫生填埋场地资源和自然条件适宜的地区，可将卫生填埋作为生活垃圾处理的基本方案。生活垃圾管理水平较高的地区可采用生物处理技术。在充分论证的基础上，鼓励积极开展水泥窑协同处理等技术的试点示范。有条件的地区，宜集成多种处理技术统筹解决生活垃圾处理问题。</w:t>
      </w:r>
      <w:r w:rsidRPr="00E207D9">
        <w:rPr>
          <w:rFonts w:ascii="宋体" w:eastAsia="宋体" w:hAnsi="宋体" w:cs="宋体" w:hint="eastAsia"/>
          <w:color w:val="000000"/>
          <w:kern w:val="0"/>
          <w:sz w:val="24"/>
          <w:szCs w:val="24"/>
        </w:rPr>
        <w:br/>
        <w:t xml:space="preserve">　　考虑不同区域的实际情况，坚持集中处理与分散处理相结合，交通相对便利的地区，鼓励采取集中建设处理设施的模式。逐步统筹城镇生活垃圾处理设施的规划和建设，交通相对便利乡镇的生活垃圾，优先考虑纳入城市生活垃圾处理系统。</w:t>
      </w:r>
      <w:r w:rsidRPr="00E207D9">
        <w:rPr>
          <w:rFonts w:ascii="宋体" w:eastAsia="宋体" w:hAnsi="宋体" w:cs="宋体" w:hint="eastAsia"/>
          <w:color w:val="000000"/>
          <w:kern w:val="0"/>
          <w:sz w:val="24"/>
          <w:szCs w:val="24"/>
        </w:rPr>
        <w:br/>
        <w:t xml:space="preserve">　　（二）完善收转运体系。</w:t>
      </w:r>
      <w:r w:rsidRPr="00E207D9">
        <w:rPr>
          <w:rFonts w:ascii="宋体" w:eastAsia="宋体" w:hAnsi="宋体" w:cs="宋体" w:hint="eastAsia"/>
          <w:color w:val="000000"/>
          <w:kern w:val="0"/>
          <w:sz w:val="24"/>
          <w:szCs w:val="24"/>
        </w:rPr>
        <w:br/>
        <w:t xml:space="preserve">　　1.建设任务。加大生活垃圾收集力度，提高收集率和收运效率，扩大收集覆盖面，交通便利地区、经济发达地区应通过以城带乡等多种渠道进一步加大对建制镇及农村生活垃圾的收转运力度。城市建成区应实现生活垃圾全部收集；常住</w:t>
      </w:r>
      <w:r w:rsidRPr="00E207D9">
        <w:rPr>
          <w:rFonts w:ascii="宋体" w:eastAsia="宋体" w:hAnsi="宋体" w:cs="宋体" w:hint="eastAsia"/>
          <w:color w:val="000000"/>
          <w:kern w:val="0"/>
          <w:sz w:val="24"/>
          <w:szCs w:val="24"/>
        </w:rPr>
        <w:lastRenderedPageBreak/>
        <w:t>人口3万人以上的建制镇（以下简称“重点建制镇”），应建立完善的生活垃圾收转运系统。在有条件的地区，应按照统筹城乡的原则，推进生活垃圾收转运系统的建设。开展生活垃圾分类的城市，应建立与生活垃圾分类、资源化利用、无害化处理等相衔接的收转运体系，完善收转运网络。</w:t>
      </w:r>
      <w:r w:rsidRPr="00E207D9">
        <w:rPr>
          <w:rFonts w:ascii="宋体" w:eastAsia="宋体" w:hAnsi="宋体" w:cs="宋体" w:hint="eastAsia"/>
          <w:color w:val="000000"/>
          <w:kern w:val="0"/>
          <w:sz w:val="24"/>
          <w:szCs w:val="24"/>
        </w:rPr>
        <w:br/>
        <w:t xml:space="preserve">　　“十二五”期间，规划新增收转运能力45.7万吨/日，其中设市城市新增23.0万吨/日，县城和重点建制镇新增22.7万吨/日；规划新增运输能力45.7万吨/日，其中设市城市新增22.9万吨/日，县城和重点建制镇新增22.8万吨/日。</w:t>
      </w:r>
      <w:r w:rsidRPr="00E207D9">
        <w:rPr>
          <w:rFonts w:ascii="宋体" w:eastAsia="宋体" w:hAnsi="宋体" w:cs="宋体" w:hint="eastAsia"/>
          <w:color w:val="000000"/>
          <w:kern w:val="0"/>
          <w:sz w:val="24"/>
          <w:szCs w:val="24"/>
        </w:rPr>
        <w:br/>
        <w:t xml:space="preserve">　　2.建设要求。推广生活垃圾压缩式收转运方式，统筹布局生活垃圾转运站，加强压缩式生活垃圾转运站建设与升级改造。推广密闭化收运，淘汰敞开式收转运，减少和避免生活垃圾收转运过程中的二次污染，大中型城市要在“十二五”期间全部实现密闭化收转运。研究运用物联网技术，探索路线优化、成本合理、高效环保的收转运新模式。</w:t>
      </w:r>
      <w:r w:rsidRPr="00E207D9">
        <w:rPr>
          <w:rFonts w:ascii="宋体" w:eastAsia="宋体" w:hAnsi="宋体" w:cs="宋体" w:hint="eastAsia"/>
          <w:color w:val="000000"/>
          <w:kern w:val="0"/>
          <w:sz w:val="24"/>
          <w:szCs w:val="24"/>
        </w:rPr>
        <w:br/>
        <w:t xml:space="preserve">　　（三）加大存量治理力度。</w:t>
      </w:r>
      <w:r w:rsidRPr="00E207D9">
        <w:rPr>
          <w:rFonts w:ascii="宋体" w:eastAsia="宋体" w:hAnsi="宋体" w:cs="宋体" w:hint="eastAsia"/>
          <w:color w:val="000000"/>
          <w:kern w:val="0"/>
          <w:sz w:val="24"/>
          <w:szCs w:val="24"/>
        </w:rPr>
        <w:br/>
        <w:t xml:space="preserve">　　1.建设任务。对由于历史原因形成的非正规生活垃圾堆放点和不达标生活垃圾处理设施进行存量治理，使其达到标准规范要求。</w:t>
      </w:r>
      <w:r w:rsidRPr="00E207D9">
        <w:rPr>
          <w:rFonts w:ascii="宋体" w:eastAsia="宋体" w:hAnsi="宋体" w:cs="宋体" w:hint="eastAsia"/>
          <w:color w:val="000000"/>
          <w:kern w:val="0"/>
          <w:sz w:val="24"/>
          <w:szCs w:val="24"/>
        </w:rPr>
        <w:br/>
        <w:t xml:space="preserve">　　非正规生活垃圾堆放点整治。要在环境评估的基础上，制定治理计划，进行综合整治，优先开展水源地、城乡结合部等重点区域的治理工作。</w:t>
      </w:r>
      <w:r w:rsidRPr="00E207D9">
        <w:rPr>
          <w:rFonts w:ascii="宋体" w:eastAsia="宋体" w:hAnsi="宋体" w:cs="宋体" w:hint="eastAsia"/>
          <w:color w:val="000000"/>
          <w:kern w:val="0"/>
          <w:sz w:val="24"/>
          <w:szCs w:val="24"/>
        </w:rPr>
        <w:br/>
        <w:t xml:space="preserve">　　不达标生活垃圾处理设施的升级改造和封场。对于渗滤液处理不能达标的处理设施，要尽快新建或改造渗滤液处理设施，严格控制填埋场污染物排放。对具有填埋气体收集利用价值的填埋场，开展填埋气体收集利用及再处理工作，减少甲烷等温室气体排放。对服役期满的填埋处理设施，按照相关要求进行封场。</w:t>
      </w:r>
      <w:r w:rsidRPr="00E207D9">
        <w:rPr>
          <w:rFonts w:ascii="宋体" w:eastAsia="宋体" w:hAnsi="宋体" w:cs="宋体" w:hint="eastAsia"/>
          <w:color w:val="000000"/>
          <w:kern w:val="0"/>
          <w:sz w:val="24"/>
          <w:szCs w:val="24"/>
        </w:rPr>
        <w:br/>
        <w:t xml:space="preserve">　　“十二五”期间，预计实施存量治理项目1882个。其中，不达标生活垃圾处理设施改造项目503个，卫生填埋场封场项目802个，非正规生活垃圾堆放点</w:t>
      </w:r>
      <w:r w:rsidRPr="00E207D9">
        <w:rPr>
          <w:rFonts w:ascii="宋体" w:eastAsia="宋体" w:hAnsi="宋体" w:cs="宋体" w:hint="eastAsia"/>
          <w:color w:val="000000"/>
          <w:kern w:val="0"/>
          <w:sz w:val="24"/>
          <w:szCs w:val="24"/>
        </w:rPr>
        <w:lastRenderedPageBreak/>
        <w:t>治理项目577个。</w:t>
      </w:r>
      <w:r w:rsidRPr="00E207D9">
        <w:rPr>
          <w:rFonts w:ascii="宋体" w:eastAsia="宋体" w:hAnsi="宋体" w:cs="宋体" w:hint="eastAsia"/>
          <w:color w:val="000000"/>
          <w:kern w:val="0"/>
          <w:sz w:val="24"/>
          <w:szCs w:val="24"/>
        </w:rPr>
        <w:br/>
        <w:t xml:space="preserve">　　2.建设要求。现有设施的升级改造和封场过程中，要对填埋气及时收集利用，对渗滤液进行处理实现达标排放，并按照规范要求进行生态修复。</w:t>
      </w:r>
      <w:r w:rsidRPr="00E207D9">
        <w:rPr>
          <w:rFonts w:ascii="宋体" w:eastAsia="宋体" w:hAnsi="宋体" w:cs="宋体" w:hint="eastAsia"/>
          <w:color w:val="000000"/>
          <w:kern w:val="0"/>
          <w:sz w:val="24"/>
          <w:szCs w:val="24"/>
        </w:rPr>
        <w:br/>
        <w:t xml:space="preserve">　　非正规生活垃圾堆放点的治理，应结合不同类型堆放场的规模、设施状况、场址地质构造、周边环境条件、修复后用途等特点，因地制宜制定处理方案，对堆体整形、填埋气收集与处理、封场覆盖、地表水控制、渗滤液收集处理和其他附属工程等制定明确的治理方案。对于环境敏感的地区，可采取鼓气通风、抽气、洒水等好氧填埋技术促进已填埋垃圾快速降解。在垃圾填埋量大、具有开发价值、土地资源紧缺或具有焚烧设施的地区，可对填埋场内的垃圾实施开发利用，对其中的金属等可再生资源进行回收利用，富含养分的筛下物做绿化用土，高热值垃圾可进行焚烧处理，大粒径无机物垃圾进行回填。</w:t>
      </w:r>
      <w:r w:rsidRPr="00E207D9">
        <w:rPr>
          <w:rFonts w:ascii="宋体" w:eastAsia="宋体" w:hAnsi="宋体" w:cs="宋体" w:hint="eastAsia"/>
          <w:color w:val="000000"/>
          <w:kern w:val="0"/>
          <w:sz w:val="24"/>
          <w:szCs w:val="24"/>
        </w:rPr>
        <w:br/>
        <w:t xml:space="preserve">　　（四）推进餐厨垃圾分类处理。</w:t>
      </w:r>
      <w:r w:rsidRPr="00E207D9">
        <w:rPr>
          <w:rFonts w:ascii="宋体" w:eastAsia="宋体" w:hAnsi="宋体" w:cs="宋体" w:hint="eastAsia"/>
          <w:color w:val="000000"/>
          <w:kern w:val="0"/>
          <w:sz w:val="24"/>
          <w:szCs w:val="24"/>
        </w:rPr>
        <w:br/>
        <w:t xml:space="preserve">　　1.建设任务。选择一批有条件的城市和县城，在已启动餐厨垃圾处理工作的基础上，继续推动餐厨垃圾单独收集和运输，以适度规模、相对集中为原则，建设餐厨垃圾资源化利用和无害化处理设施。鼓励使用餐厨垃圾生产油脂、沼气、有机肥、饲料等，并加强利用。鼓励餐厨垃圾与其他有机可降解垃圾联合处理。</w:t>
      </w:r>
      <w:r w:rsidRPr="00E207D9">
        <w:rPr>
          <w:rFonts w:ascii="宋体" w:eastAsia="宋体" w:hAnsi="宋体" w:cs="宋体" w:hint="eastAsia"/>
          <w:color w:val="000000"/>
          <w:kern w:val="0"/>
          <w:sz w:val="24"/>
          <w:szCs w:val="24"/>
        </w:rPr>
        <w:br/>
        <w:t xml:space="preserve">　　“十二五”期间，重点抓好餐厨废弃物资源化利用与无害化处理试点城市建设，积极推动设区城市餐厨垃圾的分类收运和处理，力争达到3万吨/日的处理能力。</w:t>
      </w:r>
      <w:r w:rsidRPr="00E207D9">
        <w:rPr>
          <w:rFonts w:ascii="宋体" w:eastAsia="宋体" w:hAnsi="宋体" w:cs="宋体" w:hint="eastAsia"/>
          <w:color w:val="000000"/>
          <w:kern w:val="0"/>
          <w:sz w:val="24"/>
          <w:szCs w:val="24"/>
        </w:rPr>
        <w:br/>
        <w:t xml:space="preserve">　　2.建设要求。设置餐厨垃圾专用收集容器和运输车辆，保证餐厨垃圾的单独收集与密闭运输，配套完善的餐厨垃圾收运系统，推广成熟稳定的资源化技术，提高餐厨垃圾的资源化利用水平。完善餐厨垃圾从产生到收运、处理全过程的申报登记制度，有效监管餐厨垃圾及其资源化产品的流向。</w:t>
      </w:r>
      <w:r w:rsidRPr="00E207D9">
        <w:rPr>
          <w:rFonts w:ascii="宋体" w:eastAsia="宋体" w:hAnsi="宋体" w:cs="宋体" w:hint="eastAsia"/>
          <w:color w:val="000000"/>
          <w:kern w:val="0"/>
          <w:sz w:val="24"/>
          <w:szCs w:val="24"/>
        </w:rPr>
        <w:br/>
        <w:t xml:space="preserve">　　（五）推行生活垃圾分类。</w:t>
      </w:r>
      <w:r w:rsidRPr="00E207D9">
        <w:rPr>
          <w:rFonts w:ascii="宋体" w:eastAsia="宋体" w:hAnsi="宋体" w:cs="宋体" w:hint="eastAsia"/>
          <w:color w:val="000000"/>
          <w:kern w:val="0"/>
          <w:sz w:val="24"/>
          <w:szCs w:val="24"/>
        </w:rPr>
        <w:br/>
        <w:t xml:space="preserve">　　1.建设任务。各地要根据本地生活垃圾特性、处理方式和管理水平，科学制</w:t>
      </w:r>
      <w:r w:rsidRPr="00E207D9">
        <w:rPr>
          <w:rFonts w:ascii="宋体" w:eastAsia="宋体" w:hAnsi="宋体" w:cs="宋体" w:hint="eastAsia"/>
          <w:color w:val="000000"/>
          <w:kern w:val="0"/>
          <w:sz w:val="24"/>
          <w:szCs w:val="24"/>
        </w:rPr>
        <w:lastRenderedPageBreak/>
        <w:t>定分类办法，明确工作目标、实施步骤和政策措施，逐步推进。近期以控制水分作为开展分类示范优先选择，对家庭生活垃圾进行干湿分类，降低厨余垃圾含水率。重点包括：（1）配备生活垃圾分类和降低厨余垃圾含水率的设施。合理配置垃圾分类收集袋、分类收集桶、分类运输车辆等。（2）建设与垃圾分类投放相匹配的垃圾分类转运设施，对垃圾混合收集转运站进行升级和改造，建立厨余垃圾收运系统。完善以社区废品回收站为基础的再生资源回收网络建设和交易集散市场建设。（3）建设与分类垃圾相适应的垃圾处理设施，推进建设规模化的再生资源分拣集散中心。</w:t>
      </w:r>
      <w:r w:rsidRPr="00E207D9">
        <w:rPr>
          <w:rFonts w:ascii="宋体" w:eastAsia="宋体" w:hAnsi="宋体" w:cs="宋体" w:hint="eastAsia"/>
          <w:color w:val="000000"/>
          <w:kern w:val="0"/>
          <w:sz w:val="24"/>
          <w:szCs w:val="24"/>
        </w:rPr>
        <w:br/>
        <w:t xml:space="preserve">　　“十二五”期间，全面推进生活垃圾分类试点城市建设，各省（区、市）要建成一个以上生活垃圾分类示范城市，并在示范的基础上逐步推广。</w:t>
      </w:r>
      <w:r w:rsidRPr="00E207D9">
        <w:rPr>
          <w:rFonts w:ascii="宋体" w:eastAsia="宋体" w:hAnsi="宋体" w:cs="宋体" w:hint="eastAsia"/>
          <w:color w:val="000000"/>
          <w:kern w:val="0"/>
          <w:sz w:val="24"/>
          <w:szCs w:val="24"/>
        </w:rPr>
        <w:br/>
        <w:t xml:space="preserve">　　2.建设要求。开展分类试点的城市要制定切实可行的生活垃圾分类处理工作实施方案，按照先易后难、循序渐进的原则大力推进。建立一体化分类体系，配套完善的运输和处理系统，根据垃圾种类设置相应的收转运处理系统。可回收物纳入再生资源回收渠道，稳步推进废旧含汞荧光灯、废温度计等有害垃圾单独收运和处理。重点推进家庭垃圾干湿分类，鼓励居民将厨余垃圾与其他垃圾分别放置并单独投放，逐步建立厨余垃圾收运系统，有条件的地方，实现厨余垃圾单独收集和循环利用。</w:t>
      </w:r>
      <w:r w:rsidRPr="00E207D9">
        <w:rPr>
          <w:rFonts w:ascii="宋体" w:eastAsia="宋体" w:hAnsi="宋体" w:cs="宋体" w:hint="eastAsia"/>
          <w:color w:val="000000"/>
          <w:kern w:val="0"/>
          <w:sz w:val="24"/>
          <w:szCs w:val="24"/>
        </w:rPr>
        <w:br/>
        <w:t xml:space="preserve">　　（六）加强监管能力建设。</w:t>
      </w:r>
      <w:r w:rsidRPr="00E207D9">
        <w:rPr>
          <w:rFonts w:ascii="宋体" w:eastAsia="宋体" w:hAnsi="宋体" w:cs="宋体" w:hint="eastAsia"/>
          <w:color w:val="000000"/>
          <w:kern w:val="0"/>
          <w:sz w:val="24"/>
          <w:szCs w:val="24"/>
        </w:rPr>
        <w:br/>
        <w:t xml:space="preserve">　　1.建设任务。充分利用已有数字化城市管理信息系统、市政公用设施监管系统和环境监管系统，完善生活垃圾处理设施建设、运营和排放监管体系。生活垃圾焚烧处理设施，应安装排放自动监控系统和超标报警装置，以生活垃圾焚烧厂为重点，加快推进运营过程实时监控。</w:t>
      </w:r>
      <w:r w:rsidRPr="00E207D9">
        <w:rPr>
          <w:rFonts w:ascii="宋体" w:eastAsia="宋体" w:hAnsi="宋体" w:cs="宋体" w:hint="eastAsia"/>
          <w:color w:val="000000"/>
          <w:kern w:val="0"/>
          <w:sz w:val="24"/>
          <w:szCs w:val="24"/>
        </w:rPr>
        <w:br/>
        <w:t xml:space="preserve">　　2015年底前，焚烧处理设施的实时监控装置安装率达到100%，其他处理设施达到50%以上。</w:t>
      </w:r>
      <w:r w:rsidRPr="00E207D9">
        <w:rPr>
          <w:rFonts w:ascii="宋体" w:eastAsia="宋体" w:hAnsi="宋体" w:cs="宋体" w:hint="eastAsia"/>
          <w:color w:val="000000"/>
          <w:kern w:val="0"/>
          <w:sz w:val="24"/>
          <w:szCs w:val="24"/>
        </w:rPr>
        <w:br/>
        <w:t xml:space="preserve">　　2.建设要求。加强城镇生活垃圾无害化处理设施建设和运营信息统计。重点</w:t>
      </w:r>
      <w:r w:rsidRPr="00E207D9">
        <w:rPr>
          <w:rFonts w:ascii="宋体" w:eastAsia="宋体" w:hAnsi="宋体" w:cs="宋体" w:hint="eastAsia"/>
          <w:color w:val="000000"/>
          <w:kern w:val="0"/>
          <w:sz w:val="24"/>
          <w:szCs w:val="24"/>
        </w:rPr>
        <w:lastRenderedPageBreak/>
        <w:t>推进对焚烧厂主要设施运营状况、卫生填埋场填埋作业等实施实时监控，加强对焚烧设施烟气排放以及卫生填埋场渗滤液和填埋气体排放的监测。</w:t>
      </w:r>
      <w:r w:rsidRPr="00E207D9">
        <w:rPr>
          <w:rFonts w:ascii="宋体" w:eastAsia="宋体" w:hAnsi="宋体" w:cs="宋体" w:hint="eastAsia"/>
          <w:color w:val="000000"/>
          <w:kern w:val="0"/>
          <w:sz w:val="24"/>
          <w:szCs w:val="24"/>
        </w:rPr>
        <w:br/>
        <w:t xml:space="preserve">　　</w:t>
      </w:r>
      <w:r w:rsidRPr="00E207D9">
        <w:rPr>
          <w:rFonts w:ascii="宋体" w:eastAsia="宋体" w:hAnsi="宋体" w:cs="宋体" w:hint="eastAsia"/>
          <w:b/>
          <w:bCs/>
          <w:color w:val="000000"/>
          <w:kern w:val="0"/>
          <w:sz w:val="24"/>
          <w:szCs w:val="24"/>
        </w:rPr>
        <w:t>三、投资估算和资金筹措</w:t>
      </w:r>
      <w:r w:rsidRPr="00E207D9">
        <w:rPr>
          <w:rFonts w:ascii="宋体" w:eastAsia="宋体" w:hAnsi="宋体" w:cs="宋体" w:hint="eastAsia"/>
          <w:color w:val="000000"/>
          <w:kern w:val="0"/>
          <w:sz w:val="24"/>
          <w:szCs w:val="24"/>
        </w:rPr>
        <w:br/>
        <w:t xml:space="preserve">　　（一）投资估算。</w:t>
      </w:r>
      <w:r w:rsidRPr="00E207D9">
        <w:rPr>
          <w:rFonts w:ascii="宋体" w:eastAsia="宋体" w:hAnsi="宋体" w:cs="宋体" w:hint="eastAsia"/>
          <w:color w:val="000000"/>
          <w:kern w:val="0"/>
          <w:sz w:val="24"/>
          <w:szCs w:val="24"/>
        </w:rPr>
        <w:br/>
        <w:t xml:space="preserve">　　“十二五”期间，全国城镇生活垃圾无害化处理设施建设总投资约2636亿元。其中：无害化处理设施投资1730亿元（含“十一五”续建投资345亿元），占65.6%；收运转运体系建设投资351亿元，占13.3%；存量整治工程投资211亿元，占8.0%；餐厨垃圾专项工程投资109亿元，占4.1%；垃圾分类示范工程投资210亿元，占8.0%；监管体系建设投资25亿元，占1.0%。</w:t>
      </w:r>
      <w:r w:rsidRPr="00E207D9">
        <w:rPr>
          <w:rFonts w:ascii="宋体" w:eastAsia="宋体" w:hAnsi="宋体" w:cs="宋体" w:hint="eastAsia"/>
          <w:color w:val="000000"/>
          <w:kern w:val="0"/>
          <w:sz w:val="24"/>
          <w:szCs w:val="24"/>
        </w:rPr>
        <w:br/>
        <w:t xml:space="preserve">　　（二）资金筹措。</w:t>
      </w:r>
      <w:r w:rsidRPr="00E207D9">
        <w:rPr>
          <w:rFonts w:ascii="宋体" w:eastAsia="宋体" w:hAnsi="宋体" w:cs="宋体" w:hint="eastAsia"/>
          <w:color w:val="000000"/>
          <w:kern w:val="0"/>
          <w:sz w:val="24"/>
          <w:szCs w:val="24"/>
        </w:rPr>
        <w:br/>
        <w:t xml:space="preserve">　　生活垃圾处理设施建设资金以地方投入为主。地方各级人民政府要切实加大投入力度，确保完成规划确定的各项建设任务。同时，要因地制宜，努力创造条件，采取有效的支持政策，充分调动社会资金参与城镇生活垃圾处理设施建设的积极性，促进投资主体与融资渠道的多元化。鼓励积极利用银行贷款、外国政府或金融组织优惠贷款和赠款。国家将根据规划任务和建设重点，继续对设施建设予以适当支持，对采用资源化处理技术的设施将加大支持力度。</w:t>
      </w:r>
      <w:r w:rsidRPr="00E207D9">
        <w:rPr>
          <w:rFonts w:ascii="宋体" w:eastAsia="宋体" w:hAnsi="宋体" w:cs="宋体" w:hint="eastAsia"/>
          <w:color w:val="000000"/>
          <w:kern w:val="0"/>
          <w:sz w:val="24"/>
          <w:szCs w:val="24"/>
        </w:rPr>
        <w:br/>
        <w:t xml:space="preserve">　　</w:t>
      </w:r>
      <w:r w:rsidRPr="00E207D9">
        <w:rPr>
          <w:rFonts w:ascii="宋体" w:eastAsia="宋体" w:hAnsi="宋体" w:cs="宋体" w:hint="eastAsia"/>
          <w:b/>
          <w:bCs/>
          <w:color w:val="000000"/>
          <w:kern w:val="0"/>
          <w:sz w:val="24"/>
          <w:szCs w:val="24"/>
        </w:rPr>
        <w:t>四、规划实施</w:t>
      </w:r>
      <w:r w:rsidRPr="00E207D9">
        <w:rPr>
          <w:rFonts w:ascii="宋体" w:eastAsia="宋体" w:hAnsi="宋体" w:cs="宋体" w:hint="eastAsia"/>
          <w:color w:val="000000"/>
          <w:kern w:val="0"/>
          <w:sz w:val="24"/>
          <w:szCs w:val="24"/>
        </w:rPr>
        <w:br/>
        <w:t xml:space="preserve">　　（一）保障措施。</w:t>
      </w:r>
      <w:r w:rsidRPr="00E207D9">
        <w:rPr>
          <w:rFonts w:ascii="宋体" w:eastAsia="宋体" w:hAnsi="宋体" w:cs="宋体" w:hint="eastAsia"/>
          <w:color w:val="000000"/>
          <w:kern w:val="0"/>
          <w:sz w:val="24"/>
          <w:szCs w:val="24"/>
        </w:rPr>
        <w:br/>
        <w:t xml:space="preserve">　　1.完善法规标准。建立健全生活垃圾处理相关法律法规，修订《城市市容和环境卫生管理条例》，抓紧研究制定餐厨垃圾资源化管理办法等相关规定，加强生活垃圾全过程管理。完善生活垃圾处理标准体系，制定和完善生活垃圾分类、回收利用、设施建设工程验收、污染防治和评价等相关标准。完善生活垃圾分类标识，使群众易于识别和方便投放。建立健全城镇生活垃圾处理统计指标体系。</w:t>
      </w:r>
      <w:r w:rsidRPr="00E207D9">
        <w:rPr>
          <w:rFonts w:ascii="宋体" w:eastAsia="宋体" w:hAnsi="宋体" w:cs="宋体" w:hint="eastAsia"/>
          <w:color w:val="000000"/>
          <w:kern w:val="0"/>
          <w:sz w:val="24"/>
          <w:szCs w:val="24"/>
        </w:rPr>
        <w:br/>
        <w:t xml:space="preserve">　　2.加强政策支持。落实政府责任，加大各级公共财政投入，建立稳定的资金来源渠道，增加资金投入规模。完善价格机制，探索改进生活垃圾收费方式，降</w:t>
      </w:r>
      <w:r w:rsidRPr="00E207D9">
        <w:rPr>
          <w:rFonts w:ascii="宋体" w:eastAsia="宋体" w:hAnsi="宋体" w:cs="宋体" w:hint="eastAsia"/>
          <w:color w:val="000000"/>
          <w:kern w:val="0"/>
          <w:sz w:val="24"/>
          <w:szCs w:val="24"/>
        </w:rPr>
        <w:lastRenderedPageBreak/>
        <w:t>低收费成本、提高收缴率。综合考虑城镇生活垃圾处理成本和居民收入水平等因素，适度提高生活垃圾处理费标准。生活垃圾处理费要专款专用，不得挪作他用。不断完善生活垃圾焚烧发电的价格政策。健全激励政策，加强生活垃圾处理设施运行的经费保障，在收费不足以补偿运行成本的情况下，地方政府要积极采取措施适当补偿，确保设施的正常运行。落实和完善城镇生活垃圾处理税收优惠政策，制定城镇生活垃圾收集和减量激励政策，建立利益导向机制，鼓励对生活垃圾实行就地、就近充分回收和合理利用。各地要制定生活垃圾处理设施建设规划和年度实施计划，统筹安排设施建设的规模、布局和用地，并纳入土地利用总体规划、城镇总体规划和近期建设规划。确保生活垃圾处理设施建设用地需求，符合《划拨用地目录》的项目，应以划拨方式供应建设用地。禁止以城镇开发或其他理由侵占生活垃圾处理设施建设用地，禁止更改已运营生活垃圾处理设施的用地性质。</w:t>
      </w:r>
      <w:r w:rsidRPr="00E207D9">
        <w:rPr>
          <w:rFonts w:ascii="宋体" w:eastAsia="宋体" w:hAnsi="宋体" w:cs="宋体" w:hint="eastAsia"/>
          <w:color w:val="000000"/>
          <w:kern w:val="0"/>
          <w:sz w:val="24"/>
          <w:szCs w:val="24"/>
        </w:rPr>
        <w:br/>
        <w:t xml:space="preserve">　　3.强化监督管理。严格生活垃圾处理市场准入管理，建立和完善市场退出机制，鼓励和引导专业化企业规范建设和诚信运营。进一步规范生活垃圾处理特许经营权招标投标管理。加强对已建成运营的生活垃圾处理设施运营状况和处理效果的监管，开展年度考核评价，公开评价结果，接受社会监督。要加快信用体系建设，建立生活垃圾运营单位失信惩戒机制和黑名单制度，坚决将不能合格运营以及不能履行特许经营合同的企业清出市场。研究建立生活垃圾处理工作督查巡视制度，加强对地方政府生活垃圾处理工作以及设施建设和运营的监督。建立生活垃圾处理节能减排量化指标，落实节能减排目标责任。探索引入第三方专业机构实施监管，提高科学监管水平。完善全国生活垃圾处理设施建设和运营监控系统，定期开展生活垃圾处理设施排放物监测，建立信息公开制度，主要监测数据和结果向社会公布。</w:t>
      </w:r>
      <w:r w:rsidRPr="00E207D9">
        <w:rPr>
          <w:rFonts w:ascii="宋体" w:eastAsia="宋体" w:hAnsi="宋体" w:cs="宋体" w:hint="eastAsia"/>
          <w:color w:val="000000"/>
          <w:kern w:val="0"/>
          <w:sz w:val="24"/>
          <w:szCs w:val="24"/>
        </w:rPr>
        <w:br/>
        <w:t xml:space="preserve">　　4.提高技术能力。积极推动垃圾分类收集、分类运输、分类处理等相关技术的研究和推广，重点推动清洁焚烧、二</w:t>
      </w:r>
      <w:r>
        <w:rPr>
          <w:rFonts w:ascii="宋体" w:eastAsia="宋体" w:hAnsi="宋体" w:cs="宋体"/>
          <w:noProof/>
          <w:color w:val="000000"/>
          <w:kern w:val="0"/>
          <w:sz w:val="24"/>
          <w:szCs w:val="24"/>
        </w:rPr>
        <w:drawing>
          <wp:inline distT="0" distB="0" distL="0" distR="0">
            <wp:extent cx="190500" cy="209550"/>
            <wp:effectExtent l="19050" t="0" r="0" b="0"/>
            <wp:docPr id="1" name="图片 1" descr="http://www.gov.cn/zwgk/images/images/001aa04acfdf110dde3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zwgk/images/images/001aa04acfdf110dde3d02.gif"/>
                    <pic:cNvPicPr>
                      <a:picLocks noChangeAspect="1" noChangeArrowheads="1"/>
                    </pic:cNvPicPr>
                  </pic:nvPicPr>
                  <pic:blipFill>
                    <a:blip r:embed="rId4"/>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E207D9">
        <w:rPr>
          <w:rFonts w:ascii="宋体" w:eastAsia="宋体" w:hAnsi="宋体" w:cs="宋体" w:hint="eastAsia"/>
          <w:color w:val="000000"/>
          <w:kern w:val="0"/>
          <w:sz w:val="24"/>
          <w:szCs w:val="24"/>
        </w:rPr>
        <w:t>英控制、飞灰无害化处置和利用、填</w:t>
      </w:r>
      <w:r w:rsidRPr="00E207D9">
        <w:rPr>
          <w:rFonts w:ascii="宋体" w:eastAsia="宋体" w:hAnsi="宋体" w:cs="宋体" w:hint="eastAsia"/>
          <w:color w:val="000000"/>
          <w:kern w:val="0"/>
          <w:sz w:val="24"/>
          <w:szCs w:val="24"/>
        </w:rPr>
        <w:lastRenderedPageBreak/>
        <w:t>埋气收集利用、渗滤液处理、气味控制、非正规生活垃圾堆放点治理、小型化生活垃圾处理装置等关键技术的研究和推广，鼓励采用资源化利用技术处理生活垃圾。把生活垃圾处理技术纳入国家相关科技支撑计划，加强对垃圾处理基础性、关键性技术和标准的研究。开展生活垃圾处理技术应用示范工程、产业化示范工程和资源化利用产业基地建设，带动市场需求，促进先进适用技术推广应用。围绕提高生活垃圾处理设施建设及运营管理水平的需要，加强专业技术人才、管理人才建设和培养。大力发展职业教育和职业培训，建立从业人员职业资格制度，加强岗前和岗中职业培训，提高从业人员的文化水平和职业技能水平。</w:t>
      </w:r>
      <w:r w:rsidRPr="00E207D9">
        <w:rPr>
          <w:rFonts w:ascii="宋体" w:eastAsia="宋体" w:hAnsi="宋体" w:cs="宋体" w:hint="eastAsia"/>
          <w:color w:val="000000"/>
          <w:kern w:val="0"/>
          <w:sz w:val="24"/>
          <w:szCs w:val="24"/>
        </w:rPr>
        <w:br/>
        <w:t xml:space="preserve">　　5.加强宣传引导。加强生活垃圾处理的正面宣传和舆论引导，正确传播生活垃圾无害化处理的相关知识，全面客观报道相关信息。宣传普及有关生活垃圾收转运和处理的知识，将其纳入中小学课程内容。充分利用各种媒体，开展多种形式的主题宣传活动，倡导绿色健康生活方式，引导全民树立“垃圾处理、人人有责”的观念，形成有利于促进生活垃圾处理设施建设与运营健康发展的舆论氛围。完善公众参与和政府决策机制，加强公众监督，健全居民诉求表达机制。</w:t>
      </w:r>
      <w:r w:rsidRPr="00E207D9">
        <w:rPr>
          <w:rFonts w:ascii="宋体" w:eastAsia="宋体" w:hAnsi="宋体" w:cs="宋体" w:hint="eastAsia"/>
          <w:color w:val="000000"/>
          <w:kern w:val="0"/>
          <w:sz w:val="24"/>
          <w:szCs w:val="24"/>
        </w:rPr>
        <w:br/>
        <w:t xml:space="preserve">　　（二）实施机制。</w:t>
      </w:r>
      <w:r w:rsidRPr="00E207D9">
        <w:rPr>
          <w:rFonts w:ascii="宋体" w:eastAsia="宋体" w:hAnsi="宋体" w:cs="宋体" w:hint="eastAsia"/>
          <w:color w:val="000000"/>
          <w:kern w:val="0"/>
          <w:sz w:val="24"/>
          <w:szCs w:val="24"/>
        </w:rPr>
        <w:br/>
        <w:t xml:space="preserve">　　城镇生活垃圾无害化处理工作由省级人民政府负总责，市、县级人民政府负责具体实施。各省（区、市）和计划单列市人民政府要制定本地区城镇生活垃圾无害化处理设施建设规划，对所属城市人民政府实行目标责任制管理，加强监督指导。要将《规划》执行情况作为市、县级人民政府目标责任考核和领导干部综合评价的重要内容。</w:t>
      </w:r>
      <w:r w:rsidRPr="00E207D9">
        <w:rPr>
          <w:rFonts w:ascii="宋体" w:eastAsia="宋体" w:hAnsi="宋体" w:cs="宋体" w:hint="eastAsia"/>
          <w:color w:val="000000"/>
          <w:kern w:val="0"/>
          <w:sz w:val="24"/>
          <w:szCs w:val="24"/>
        </w:rPr>
        <w:br/>
        <w:t xml:space="preserve">　　国务院有关部门要各司其职，加强协调、密切配合，发展改革委继续安排中央预算内投资支持设施建设，有关部门要共同研究制定有利于《规划》执行的相关政策和措施，全力支持和推进《规划》实施，切实抓好各项工作。</w:t>
      </w:r>
      <w:r w:rsidRPr="00E207D9">
        <w:rPr>
          <w:rFonts w:ascii="宋体" w:eastAsia="宋体" w:hAnsi="宋体" w:cs="宋体" w:hint="eastAsia"/>
          <w:color w:val="000000"/>
          <w:kern w:val="0"/>
          <w:sz w:val="24"/>
          <w:szCs w:val="24"/>
        </w:rPr>
        <w:br/>
        <w:t xml:space="preserve">　　发展改革委、住房城乡建设部、环境保护部要加强对《规划》实施情况的监督评估，中期评估结果向国务院报告，并向社会公布。</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lastRenderedPageBreak/>
        <w:t xml:space="preserve">　　附件：1.“十一五”全国城镇生活垃圾处理主要指标实现情况</w:t>
      </w:r>
      <w:r w:rsidRPr="00E207D9">
        <w:rPr>
          <w:rFonts w:ascii="宋体" w:eastAsia="宋体" w:hAnsi="宋体" w:cs="宋体" w:hint="eastAsia"/>
          <w:color w:val="000000"/>
          <w:kern w:val="0"/>
          <w:sz w:val="24"/>
          <w:szCs w:val="24"/>
        </w:rPr>
        <w:br/>
        <w:t xml:space="preserve">　　　　　2.“十二五”全国城镇生活垃圾处理设施规模</w:t>
      </w:r>
      <w:r w:rsidRPr="00E207D9">
        <w:rPr>
          <w:rFonts w:ascii="宋体" w:eastAsia="宋体" w:hAnsi="宋体" w:cs="宋体" w:hint="eastAsia"/>
          <w:color w:val="000000"/>
          <w:kern w:val="0"/>
          <w:sz w:val="24"/>
          <w:szCs w:val="24"/>
        </w:rPr>
        <w:br/>
        <w:t xml:space="preserve">　　　　　3.“十二五”全国城镇生活垃圾处理设施采用技术情况</w:t>
      </w:r>
      <w:r w:rsidRPr="00E207D9">
        <w:rPr>
          <w:rFonts w:ascii="宋体" w:eastAsia="宋体" w:hAnsi="宋体" w:cs="宋体" w:hint="eastAsia"/>
          <w:color w:val="000000"/>
          <w:kern w:val="0"/>
          <w:sz w:val="24"/>
          <w:szCs w:val="24"/>
        </w:rPr>
        <w:br/>
        <w:t xml:space="preserve">　　　　　4.“十二五”新增收转运设施和存量治理规模</w:t>
      </w:r>
      <w:r w:rsidRPr="00E207D9">
        <w:rPr>
          <w:rFonts w:ascii="宋体" w:eastAsia="宋体" w:hAnsi="宋体" w:cs="宋体" w:hint="eastAsia"/>
          <w:color w:val="000000"/>
          <w:kern w:val="0"/>
          <w:sz w:val="24"/>
          <w:szCs w:val="24"/>
        </w:rPr>
        <w:br/>
        <w:t xml:space="preserve">　　　　　5.“十二五”餐厨垃圾处理体系建设情况</w:t>
      </w:r>
      <w:r w:rsidRPr="00E207D9">
        <w:rPr>
          <w:rFonts w:ascii="宋体" w:eastAsia="宋体" w:hAnsi="宋体" w:cs="宋体" w:hint="eastAsia"/>
          <w:color w:val="000000"/>
          <w:kern w:val="0"/>
          <w:sz w:val="24"/>
          <w:szCs w:val="24"/>
        </w:rPr>
        <w:br/>
        <w:t xml:space="preserve">　　　　　6.“十二五”生活垃圾处理设施建设投资</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24"/>
          <w:szCs w:val="24"/>
        </w:rPr>
        <w:t>附件1：</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36"/>
        </w:rPr>
        <w:t>“十一五”全国城镇生活垃圾处理主要指标实现情况</w:t>
      </w:r>
    </w:p>
    <w:tbl>
      <w:tblPr>
        <w:tblW w:w="9450" w:type="dxa"/>
        <w:jc w:val="center"/>
        <w:shd w:val="clear" w:color="auto" w:fill="FFFFFF"/>
        <w:tblCellMar>
          <w:left w:w="0" w:type="dxa"/>
          <w:right w:w="0" w:type="dxa"/>
        </w:tblCellMar>
        <w:tblLook w:val="04A0"/>
      </w:tblPr>
      <w:tblGrid>
        <w:gridCol w:w="1323"/>
        <w:gridCol w:w="2607"/>
        <w:gridCol w:w="1104"/>
        <w:gridCol w:w="941"/>
        <w:gridCol w:w="995"/>
        <w:gridCol w:w="1376"/>
        <w:gridCol w:w="1104"/>
      </w:tblGrid>
      <w:tr w:rsidR="00E207D9" w:rsidRPr="00E207D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序号</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主要指标</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地区</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2005年</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2010年</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“十一五”</w:t>
            </w:r>
            <w:r w:rsidRPr="00E207D9">
              <w:rPr>
                <w:rFonts w:ascii="宋体" w:eastAsia="宋体" w:hAnsi="宋体" w:cs="宋体" w:hint="eastAsia"/>
                <w:color w:val="000000"/>
                <w:kern w:val="0"/>
                <w:sz w:val="20"/>
                <w:szCs w:val="20"/>
              </w:rPr>
              <w:br/>
              <w:t>规划目标</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目标</w:t>
            </w:r>
            <w:r w:rsidRPr="00E207D9">
              <w:rPr>
                <w:rFonts w:ascii="宋体" w:eastAsia="宋体" w:hAnsi="宋体" w:cs="宋体" w:hint="eastAsia"/>
                <w:color w:val="000000"/>
                <w:kern w:val="0"/>
                <w:sz w:val="20"/>
                <w:szCs w:val="20"/>
              </w:rPr>
              <w:br/>
              <w:t>完成情况</w:t>
            </w:r>
          </w:p>
        </w:tc>
      </w:tr>
      <w:tr w:rsidR="00E207D9" w:rsidRPr="00E207D9">
        <w:trPr>
          <w:jc w:val="center"/>
        </w:trPr>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无害化</w:t>
            </w:r>
            <w:r w:rsidRPr="00E207D9">
              <w:rPr>
                <w:rFonts w:ascii="宋体" w:eastAsia="宋体" w:hAnsi="宋体" w:cs="宋体" w:hint="eastAsia"/>
                <w:color w:val="000000"/>
                <w:kern w:val="0"/>
                <w:sz w:val="20"/>
                <w:szCs w:val="20"/>
              </w:rPr>
              <w:br/>
              <w:t>处理率（%）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34.8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63.5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3.5</w:t>
            </w: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51.7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77.9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70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7.9</w:t>
            </w: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7.2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27.4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-2.6</w:t>
            </w:r>
          </w:p>
        </w:tc>
      </w:tr>
      <w:tr w:rsidR="00E207D9" w:rsidRPr="00E207D9">
        <w:trPr>
          <w:jc w:val="center"/>
        </w:trPr>
        <w:tc>
          <w:tcPr>
            <w:tcW w:w="0" w:type="auto"/>
            <w:gridSpan w:val="2"/>
            <w:vMerge w:val="restar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               无害化处理设施</w:t>
            </w:r>
            <w:r w:rsidRPr="00E207D9">
              <w:rPr>
                <w:rFonts w:ascii="宋体" w:eastAsia="宋体" w:hAnsi="宋体" w:cs="宋体" w:hint="eastAsia"/>
                <w:color w:val="000000"/>
                <w:kern w:val="0"/>
                <w:sz w:val="20"/>
                <w:szCs w:val="20"/>
              </w:rPr>
              <w:br/>
              <w:t>                  数量（座）</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614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1076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gridSpan w:val="2"/>
            <w:vMerge/>
            <w:tcBorders>
              <w:top w:val="nil"/>
              <w:left w:val="single" w:sz="8" w:space="0" w:color="000000"/>
              <w:bottom w:val="nil"/>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397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628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新增520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-289</w:t>
            </w:r>
          </w:p>
        </w:tc>
      </w:tr>
      <w:tr w:rsidR="00E207D9" w:rsidRPr="00E207D9">
        <w:trPr>
          <w:jc w:val="center"/>
        </w:trPr>
        <w:tc>
          <w:tcPr>
            <w:tcW w:w="0" w:type="auto"/>
            <w:gridSpan w:val="2"/>
            <w:vMerge/>
            <w:tcBorders>
              <w:top w:val="nil"/>
              <w:left w:val="single" w:sz="8" w:space="0" w:color="000000"/>
              <w:bottom w:val="nil"/>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217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448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卫生填埋场</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503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919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304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498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199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421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垃圾焚烧厂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119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104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其他</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51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gridSpan w:val="2"/>
            <w:vMerge w:val="restar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                    无害化处理能力</w:t>
            </w:r>
            <w:r w:rsidRPr="00E207D9">
              <w:rPr>
                <w:rFonts w:ascii="宋体" w:eastAsia="宋体" w:hAnsi="宋体" w:cs="宋体" w:hint="eastAsia"/>
                <w:color w:val="000000"/>
                <w:kern w:val="0"/>
                <w:sz w:val="20"/>
                <w:szCs w:val="20"/>
              </w:rPr>
              <w:br/>
              <w:t>                      （吨/日）</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236548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456917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新增320000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-99631</w:t>
            </w:r>
          </w:p>
        </w:tc>
      </w:tr>
      <w:tr w:rsidR="00E207D9" w:rsidRPr="00E207D9">
        <w:trPr>
          <w:jc w:val="center"/>
        </w:trPr>
        <w:tc>
          <w:tcPr>
            <w:tcW w:w="0" w:type="auto"/>
            <w:gridSpan w:val="2"/>
            <w:vMerge/>
            <w:tcBorders>
              <w:top w:val="nil"/>
              <w:left w:val="single" w:sz="8" w:space="0" w:color="000000"/>
              <w:bottom w:val="nil"/>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210578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387607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新增253000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-75971</w:t>
            </w:r>
          </w:p>
        </w:tc>
      </w:tr>
      <w:tr w:rsidR="00E207D9" w:rsidRPr="00E207D9">
        <w:trPr>
          <w:jc w:val="center"/>
        </w:trPr>
        <w:tc>
          <w:tcPr>
            <w:tcW w:w="0" w:type="auto"/>
            <w:gridSpan w:val="2"/>
            <w:vMerge/>
            <w:tcBorders>
              <w:top w:val="nil"/>
              <w:left w:val="single" w:sz="8" w:space="0" w:color="000000"/>
              <w:bottom w:val="nil"/>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25970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69310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新增67000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-23660</w:t>
            </w:r>
          </w:p>
        </w:tc>
      </w:tr>
      <w:tr w:rsidR="00E207D9" w:rsidRPr="00E207D9">
        <w:trPr>
          <w:jc w:val="center"/>
        </w:trPr>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卫生填埋场</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184740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352038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160662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289957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24078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62081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垃圾焚烧厂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26075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89625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25460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84940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615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4685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其他</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25733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15254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24456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12710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1277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2544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4</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完成投资</w:t>
            </w:r>
            <w:r w:rsidRPr="00E207D9">
              <w:rPr>
                <w:rFonts w:ascii="宋体" w:eastAsia="宋体" w:hAnsi="宋体" w:cs="宋体" w:hint="eastAsia"/>
                <w:color w:val="000000"/>
                <w:kern w:val="0"/>
                <w:sz w:val="20"/>
                <w:szCs w:val="20"/>
              </w:rPr>
              <w:br/>
              <w:t>（亿元）</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城镇</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［561］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［863］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-302</w:t>
            </w: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设市城市</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［367］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［696］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-329</w:t>
            </w:r>
          </w:p>
        </w:tc>
      </w:tr>
      <w:tr w:rsidR="00E207D9" w:rsidRPr="00E207D9">
        <w:trPr>
          <w:jc w:val="center"/>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县城</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［194］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［167］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hint="eastAsia"/>
                <w:color w:val="000000"/>
                <w:kern w:val="0"/>
                <w:sz w:val="20"/>
                <w:szCs w:val="20"/>
              </w:rPr>
              <w:t>27</w:t>
            </w:r>
          </w:p>
        </w:tc>
      </w:tr>
    </w:tbl>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xml:space="preserve">　　</w:t>
      </w:r>
      <w:r w:rsidRPr="00E207D9">
        <w:rPr>
          <w:rFonts w:ascii="宋体" w:eastAsia="宋体" w:hAnsi="宋体" w:cs="宋体" w:hint="eastAsia"/>
          <w:color w:val="000000"/>
          <w:kern w:val="0"/>
          <w:sz w:val="20"/>
          <w:szCs w:val="20"/>
        </w:rPr>
        <w:t>注：［　］表示五年累计数。</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24"/>
          <w:szCs w:val="24"/>
        </w:rPr>
        <w:t>附件2：</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36"/>
        </w:rPr>
        <w:t>“十二五”全国城镇生活垃圾处理设施规模</w:t>
      </w:r>
      <w:r w:rsidRPr="00E207D9">
        <w:rPr>
          <w:rFonts w:ascii="宋体" w:eastAsia="宋体" w:hAnsi="宋体" w:cs="宋体" w:hint="eastAsia"/>
          <w:color w:val="000000"/>
          <w:kern w:val="0"/>
          <w:sz w:val="24"/>
          <w:szCs w:val="24"/>
        </w:rPr>
        <w:br/>
        <w:t xml:space="preserve">　　　　　　　　　　　　　　　　　　　　　　　　　　　　</w:t>
      </w:r>
      <w:r w:rsidRPr="00E207D9">
        <w:rPr>
          <w:rFonts w:ascii="宋体" w:eastAsia="宋体" w:hAnsi="宋体" w:cs="宋体" w:hint="eastAsia"/>
          <w:color w:val="000000"/>
          <w:kern w:val="0"/>
          <w:sz w:val="20"/>
          <w:szCs w:val="20"/>
        </w:rPr>
        <w:t>单位：吨/日</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614"/>
        <w:gridCol w:w="2329"/>
        <w:gridCol w:w="1187"/>
        <w:gridCol w:w="1187"/>
        <w:gridCol w:w="1473"/>
        <w:gridCol w:w="1473"/>
        <w:gridCol w:w="1187"/>
      </w:tblGrid>
      <w:tr w:rsidR="00E207D9" w:rsidRPr="00E207D9">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序号</w:t>
            </w:r>
            <w:r w:rsidRPr="00E207D9">
              <w:rPr>
                <w:rFonts w:ascii="宋体" w:eastAsia="宋体" w:hAnsi="宋体" w:cs="宋体"/>
                <w:color w:val="000000"/>
                <w:kern w:val="0"/>
                <w:sz w:val="24"/>
                <w:szCs w:val="24"/>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地区</w:t>
            </w:r>
            <w:r w:rsidRPr="00E207D9">
              <w:rPr>
                <w:rFonts w:ascii="宋体" w:eastAsia="宋体" w:hAnsi="宋体" w:cs="宋体"/>
                <w:color w:val="000000"/>
                <w:kern w:val="0"/>
                <w:sz w:val="24"/>
                <w:szCs w:val="24"/>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2010年</w:t>
            </w:r>
            <w:r w:rsidRPr="00E207D9">
              <w:rPr>
                <w:rFonts w:ascii="宋体" w:eastAsia="宋体" w:hAnsi="宋体" w:cs="宋体"/>
                <w:color w:val="000000"/>
                <w:kern w:val="0"/>
                <w:sz w:val="20"/>
                <w:szCs w:val="20"/>
              </w:rPr>
              <w:br/>
              <w:t>处理能力</w:t>
            </w:r>
            <w:r w:rsidRPr="00E207D9">
              <w:rPr>
                <w:rFonts w:ascii="宋体" w:eastAsia="宋体" w:hAnsi="宋体" w:cs="宋体"/>
                <w:color w:val="000000"/>
                <w:kern w:val="0"/>
                <w:sz w:val="24"/>
                <w:szCs w:val="24"/>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“十二五”新增能力</w:t>
            </w:r>
            <w:r w:rsidRPr="00E207D9">
              <w:rPr>
                <w:rFonts w:ascii="宋体" w:eastAsia="宋体" w:hAnsi="宋体" w:cs="宋体"/>
                <w:color w:val="000000"/>
                <w:kern w:val="0"/>
                <w:sz w:val="24"/>
                <w:szCs w:val="24"/>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“十二五”</w:t>
            </w:r>
            <w:r w:rsidRPr="00E207D9">
              <w:rPr>
                <w:rFonts w:ascii="宋体" w:eastAsia="宋体" w:hAnsi="宋体" w:cs="宋体"/>
                <w:color w:val="000000"/>
                <w:kern w:val="0"/>
                <w:sz w:val="20"/>
                <w:szCs w:val="20"/>
              </w:rPr>
              <w:br/>
              <w:t>封场能力</w:t>
            </w:r>
            <w:r w:rsidRPr="00E207D9">
              <w:rPr>
                <w:rFonts w:ascii="宋体" w:eastAsia="宋体" w:hAnsi="宋体" w:cs="宋体"/>
                <w:color w:val="000000"/>
                <w:kern w:val="0"/>
                <w:sz w:val="24"/>
                <w:szCs w:val="24"/>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2015年</w:t>
            </w:r>
            <w:r w:rsidRPr="00E207D9">
              <w:rPr>
                <w:rFonts w:ascii="宋体" w:eastAsia="宋体" w:hAnsi="宋体" w:cs="宋体"/>
                <w:color w:val="000000"/>
                <w:kern w:val="0"/>
                <w:sz w:val="20"/>
                <w:szCs w:val="20"/>
              </w:rPr>
              <w:br/>
              <w:t>处理能力</w:t>
            </w:r>
          </w:p>
        </w:tc>
      </w:tr>
      <w:tr w:rsidR="00E207D9" w:rsidRPr="00E207D9">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续建能力</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“十二五”</w:t>
            </w:r>
            <w:r w:rsidRPr="00E207D9">
              <w:rPr>
                <w:rFonts w:ascii="宋体" w:eastAsia="宋体" w:hAnsi="宋体" w:cs="宋体"/>
                <w:color w:val="000000"/>
                <w:kern w:val="0"/>
                <w:sz w:val="20"/>
                <w:szCs w:val="20"/>
              </w:rPr>
              <w:br/>
              <w:t>新建能力</w:t>
            </w:r>
            <w:r w:rsidRPr="00E207D9">
              <w:rPr>
                <w:rFonts w:ascii="宋体" w:eastAsia="宋体" w:hAnsi="宋体" w:cs="宋体"/>
                <w:color w:val="000000"/>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全国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456917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182126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397988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165540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871491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北京</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16680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18196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6630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28896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天津</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8200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5900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15900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18799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5116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13314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5940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31289</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12395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2087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10592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19574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内蒙古</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11641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3770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9420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4349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20482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辽宁</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19653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9853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16981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42787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吉林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6841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9270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8300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3610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20801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黑龙江</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11503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5116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13491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27897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上海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10545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33395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39360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25400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11450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58840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浙江</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41352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11075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17850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9823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60454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安徽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9601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9046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6619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24936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福建</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19359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9140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2041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30158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6241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7871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8563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3092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19583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山东</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41717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9250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39448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15300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75115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30036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27539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16775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46250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14559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5603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15632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8566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27228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lastRenderedPageBreak/>
              <w:t>18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13593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13369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11370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34632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广东</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34116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17675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40775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18030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74536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11078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1660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6890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17714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海南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2839</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重庆</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10009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3094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9730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19901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四川</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20689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3429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12207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2744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33581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贵州</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5897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6128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9780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19430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云南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12086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4145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13660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27376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西藏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840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796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陕西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14719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4562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13475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27756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甘肃</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3793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6438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9649</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青海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1441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2235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1597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2079</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宁夏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2905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3825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6295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3973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8917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7625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11560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新疆生产建设兵团</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1805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2232</w:t>
            </w:r>
          </w:p>
        </w:tc>
      </w:tr>
    </w:tbl>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xml:space="preserve"> 　　</w:t>
      </w:r>
      <w:r w:rsidRPr="00E207D9">
        <w:rPr>
          <w:rFonts w:ascii="宋体" w:eastAsia="宋体" w:hAnsi="宋体" w:cs="宋体" w:hint="eastAsia"/>
          <w:color w:val="000000"/>
          <w:kern w:val="0"/>
          <w:sz w:val="20"/>
          <w:szCs w:val="20"/>
        </w:rPr>
        <w:t>注：1.续建能力指在2010年12月31日前开工，但2011年1月1日前尚未竣工的项目。</w:t>
      </w:r>
      <w:r w:rsidRPr="00E207D9">
        <w:rPr>
          <w:rFonts w:ascii="宋体" w:eastAsia="宋体" w:hAnsi="宋体" w:cs="宋体" w:hint="eastAsia"/>
          <w:color w:val="000000"/>
          <w:kern w:val="0"/>
          <w:sz w:val="24"/>
          <w:szCs w:val="24"/>
        </w:rPr>
        <w:br/>
        <w:t xml:space="preserve">　　　　</w:t>
      </w:r>
      <w:r w:rsidRPr="00E207D9">
        <w:rPr>
          <w:rFonts w:ascii="宋体" w:eastAsia="宋体" w:hAnsi="宋体" w:cs="宋体" w:hint="eastAsia"/>
          <w:color w:val="000000"/>
          <w:kern w:val="0"/>
          <w:sz w:val="20"/>
          <w:szCs w:val="20"/>
        </w:rPr>
        <w:t>2.截至2010年，西藏自治区、新疆生产建设兵团未建成投入运行生活垃圾无害化处理设施。</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24"/>
          <w:szCs w:val="24"/>
        </w:rPr>
        <w:t>附件3：</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36"/>
        </w:rPr>
        <w:t>“十二五”全国城镇生活垃圾处理设施采用技术情况</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544"/>
        <w:gridCol w:w="2180"/>
        <w:gridCol w:w="817"/>
        <w:gridCol w:w="680"/>
        <w:gridCol w:w="680"/>
        <w:gridCol w:w="545"/>
        <w:gridCol w:w="545"/>
        <w:gridCol w:w="545"/>
        <w:gridCol w:w="630"/>
        <w:gridCol w:w="630"/>
        <w:gridCol w:w="530"/>
        <w:gridCol w:w="330"/>
        <w:gridCol w:w="444"/>
        <w:gridCol w:w="350"/>
      </w:tblGrid>
      <w:tr w:rsidR="00E207D9" w:rsidRPr="00E207D9">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序号</w:t>
            </w:r>
            <w:r w:rsidRPr="00E207D9">
              <w:rPr>
                <w:rFonts w:ascii="宋体" w:eastAsia="宋体" w:hAnsi="宋体" w:cs="宋体"/>
                <w:color w:val="000000"/>
                <w:kern w:val="0"/>
                <w:sz w:val="24"/>
                <w:szCs w:val="24"/>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地区</w:t>
            </w:r>
            <w:r w:rsidRPr="00E207D9">
              <w:rPr>
                <w:rFonts w:ascii="宋体" w:eastAsia="宋体" w:hAnsi="宋体" w:cs="宋体"/>
                <w:color w:val="000000"/>
                <w:kern w:val="0"/>
                <w:sz w:val="24"/>
                <w:szCs w:val="24"/>
              </w:rPr>
              <w:t xml:space="preserve"> </w:t>
            </w:r>
          </w:p>
        </w:tc>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2010年</w:t>
            </w:r>
            <w:r w:rsidRPr="00E207D9">
              <w:rPr>
                <w:rFonts w:ascii="宋体" w:eastAsia="宋体" w:hAnsi="宋体" w:cs="宋体"/>
                <w:color w:val="000000"/>
                <w:kern w:val="0"/>
                <w:sz w:val="24"/>
                <w:szCs w:val="24"/>
              </w:rPr>
              <w:t xml:space="preserve"> </w:t>
            </w:r>
            <w:r w:rsidRPr="00E207D9">
              <w:rPr>
                <w:rFonts w:ascii="宋体" w:eastAsia="宋体" w:hAnsi="宋体" w:cs="宋体"/>
                <w:color w:val="000000"/>
                <w:kern w:val="0"/>
                <w:sz w:val="20"/>
                <w:szCs w:val="20"/>
              </w:rPr>
              <w:t> </w:t>
            </w:r>
          </w:p>
        </w:tc>
        <w:tc>
          <w:tcPr>
            <w:tcW w:w="325"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2015年</w:t>
            </w:r>
          </w:p>
        </w:tc>
      </w:tr>
      <w:tr w:rsidR="00E207D9" w:rsidRPr="00E207D9">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处理设施规模</w:t>
            </w:r>
            <w:r w:rsidRPr="00E207D9">
              <w:rPr>
                <w:rFonts w:ascii="宋体" w:eastAsia="宋体" w:hAnsi="宋体" w:cs="宋体"/>
                <w:color w:val="000000"/>
                <w:kern w:val="0"/>
                <w:sz w:val="20"/>
                <w:szCs w:val="20"/>
              </w:rPr>
              <w:br/>
              <w:t>（吨/日）</w:t>
            </w:r>
            <w:r w:rsidRPr="00E207D9">
              <w:rPr>
                <w:rFonts w:ascii="宋体" w:eastAsia="宋体" w:hAnsi="宋体" w:cs="宋体"/>
                <w:color w:val="000000"/>
                <w:kern w:val="0"/>
                <w:sz w:val="24"/>
                <w:szCs w:val="24"/>
              </w:rPr>
              <w:t xml:space="preserve">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所占比例</w:t>
            </w:r>
            <w:r w:rsidRPr="00E207D9">
              <w:rPr>
                <w:rFonts w:ascii="宋体" w:eastAsia="宋体" w:hAnsi="宋体" w:cs="宋体"/>
                <w:color w:val="000000"/>
                <w:kern w:val="0"/>
                <w:sz w:val="20"/>
                <w:szCs w:val="20"/>
              </w:rPr>
              <w:br/>
              <w:t>（%）</w:t>
            </w:r>
            <w:r w:rsidRPr="00E207D9">
              <w:rPr>
                <w:rFonts w:ascii="宋体" w:eastAsia="宋体" w:hAnsi="宋体" w:cs="宋体"/>
                <w:color w:val="000000"/>
                <w:kern w:val="0"/>
                <w:sz w:val="24"/>
                <w:szCs w:val="24"/>
              </w:rPr>
              <w:t xml:space="preserve"> </w:t>
            </w:r>
          </w:p>
        </w:tc>
        <w:tc>
          <w:tcPr>
            <w:tcW w:w="325"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处理设施规模</w:t>
            </w:r>
            <w:r w:rsidRPr="00E207D9">
              <w:rPr>
                <w:rFonts w:ascii="宋体" w:eastAsia="宋体" w:hAnsi="宋体" w:cs="宋体"/>
                <w:color w:val="000000"/>
                <w:kern w:val="0"/>
                <w:sz w:val="20"/>
                <w:szCs w:val="20"/>
              </w:rPr>
              <w:br/>
              <w:t>（吨/日）</w:t>
            </w:r>
          </w:p>
        </w:tc>
        <w:tc>
          <w:tcPr>
            <w:tcW w:w="16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所占比例</w:t>
            </w:r>
            <w:r w:rsidRPr="00E207D9">
              <w:rPr>
                <w:rFonts w:ascii="宋体" w:eastAsia="宋体" w:hAnsi="宋体" w:cs="宋体"/>
                <w:color w:val="000000"/>
                <w:kern w:val="0"/>
                <w:sz w:val="20"/>
                <w:szCs w:val="20"/>
              </w:rPr>
              <w:br/>
              <w:t>（%）</w:t>
            </w:r>
          </w:p>
        </w:tc>
      </w:tr>
      <w:tr w:rsidR="00E207D9" w:rsidRPr="00E207D9">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填埋</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焚烧</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其他</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填埋</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焚烧</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其他</w:t>
            </w:r>
            <w:r w:rsidRPr="00E207D9">
              <w:rPr>
                <w:rFonts w:ascii="宋体" w:eastAsia="宋体" w:hAnsi="宋体" w:cs="宋体"/>
                <w:color w:val="000000"/>
                <w:kern w:val="0"/>
                <w:sz w:val="24"/>
                <w:szCs w:val="24"/>
              </w:rPr>
              <w:t xml:space="preserve"> </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填埋</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焚烧</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其他</w:t>
            </w:r>
            <w:r w:rsidRPr="00E207D9">
              <w:rPr>
                <w:rFonts w:ascii="宋体" w:eastAsia="宋体" w:hAnsi="宋体" w:cs="宋体"/>
                <w:color w:val="000000"/>
                <w:kern w:val="0"/>
                <w:sz w:val="24"/>
                <w:szCs w:val="24"/>
              </w:rPr>
              <w:t xml:space="preserve"> </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填埋</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焚烧</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其他</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全国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352038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89625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15254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513748</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307155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50588</w:t>
            </w:r>
            <w:r w:rsidRPr="00E207D9">
              <w:rPr>
                <w:rFonts w:ascii="宋体" w:eastAsia="宋体" w:hAnsi="宋体" w:cs="宋体"/>
                <w:color w:val="000000"/>
                <w:kern w:val="0"/>
                <w:sz w:val="24"/>
                <w:szCs w:val="24"/>
              </w:rPr>
              <w:t xml:space="preserve"> </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59</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35</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北京</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12080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r w:rsidRPr="00E207D9">
              <w:rPr>
                <w:rFonts w:ascii="宋体" w:eastAsia="宋体" w:hAnsi="宋体" w:cs="宋体"/>
                <w:color w:val="000000"/>
                <w:kern w:val="0"/>
                <w:sz w:val="24"/>
                <w:szCs w:val="24"/>
              </w:rPr>
              <w:t xml:space="preserve"> </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8746</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12900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7250</w:t>
            </w:r>
            <w:r w:rsidRPr="00E207D9">
              <w:rPr>
                <w:rFonts w:ascii="宋体" w:eastAsia="宋体" w:hAnsi="宋体" w:cs="宋体"/>
                <w:color w:val="000000"/>
                <w:kern w:val="0"/>
                <w:sz w:val="24"/>
                <w:szCs w:val="24"/>
              </w:rPr>
              <w:t xml:space="preserve"> </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天津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7500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6900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47</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43</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15249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18729</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8640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3920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11239</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7030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1305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57</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36</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lastRenderedPageBreak/>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内蒙古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10394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14835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4400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1247</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72</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辽宁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19053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32106</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6340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4341</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75</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吉林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4801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13961</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6340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67</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黑龙江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22507</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3200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2190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81</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上海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5750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9400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19475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4520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15192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26598</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31242</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45</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53</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浙江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22062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22614</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37085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38</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61</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安徽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7851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19286</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5650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77</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福建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12074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7285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12263</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16495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41</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12080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4000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3503</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62</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31835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8580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38283</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31280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5552</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51</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42</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27076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38690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7000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560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84</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18898</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7200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1130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69</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13593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25862</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7900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870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75</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22373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11743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33043</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41493</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44</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56</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9944</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7270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56</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41</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海南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1014</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1825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36</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64</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重庆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8809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8901</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11000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45</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四川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16649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27041</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5240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80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贵州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19430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云南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7706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16521</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6450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4405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西藏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796</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陕西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13359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18916</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7200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1640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68</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甘肃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6649</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1800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69</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青海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2079</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宁夏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3025</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800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79</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10560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1000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91</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新疆生产建设兵团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2232</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left"/>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p>
        </w:tc>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spacing w:before="100" w:beforeAutospacing="1" w:after="100" w:afterAutospacing="1"/>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bl>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xml:space="preserve">　　</w:t>
      </w:r>
      <w:r w:rsidRPr="00E207D9">
        <w:rPr>
          <w:rFonts w:ascii="宋体" w:eastAsia="宋体" w:hAnsi="宋体" w:cs="宋体" w:hint="eastAsia"/>
          <w:color w:val="000000"/>
          <w:kern w:val="0"/>
          <w:sz w:val="20"/>
          <w:szCs w:val="20"/>
        </w:rPr>
        <w:t>注：截至2010年，西藏自治区、新疆生产建设兵团未建成投入运行生活垃圾无害化处理设施。</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24"/>
          <w:szCs w:val="24"/>
        </w:rPr>
        <w:t>附件4：</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36"/>
        </w:rPr>
        <w:t>“十二五”新增收转运设施和存量治理规模</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56"/>
        <w:gridCol w:w="3243"/>
        <w:gridCol w:w="1850"/>
        <w:gridCol w:w="1850"/>
        <w:gridCol w:w="1651"/>
      </w:tblGrid>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lastRenderedPageBreak/>
              <w:t>序号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地区</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转运能力</w:t>
            </w:r>
            <w:r w:rsidRPr="00E207D9">
              <w:rPr>
                <w:rFonts w:ascii="宋体" w:eastAsia="宋体" w:hAnsi="宋体" w:cs="宋体"/>
                <w:color w:val="000000"/>
                <w:kern w:val="0"/>
                <w:sz w:val="20"/>
                <w:szCs w:val="20"/>
              </w:rPr>
              <w:br/>
              <w:t>（吨/日）</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运输能力</w:t>
            </w:r>
            <w:r w:rsidRPr="00E207D9">
              <w:rPr>
                <w:rFonts w:ascii="宋体" w:eastAsia="宋体" w:hAnsi="宋体" w:cs="宋体"/>
                <w:color w:val="000000"/>
                <w:kern w:val="0"/>
                <w:sz w:val="20"/>
                <w:szCs w:val="20"/>
              </w:rPr>
              <w:br/>
              <w:t>（吨/日）</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存量治理</w:t>
            </w:r>
            <w:r w:rsidRPr="00E207D9">
              <w:rPr>
                <w:rFonts w:ascii="宋体" w:eastAsia="宋体" w:hAnsi="宋体" w:cs="宋体"/>
                <w:color w:val="000000"/>
                <w:kern w:val="0"/>
                <w:sz w:val="20"/>
                <w:szCs w:val="20"/>
              </w:rPr>
              <w:br/>
              <w:t>（座）</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全国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456659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457401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1882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北京</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7000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天津</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4200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5869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23763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23763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13762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13755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内蒙古</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17700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16404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辽宁</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25803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25803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吉林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15600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15600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黑龙江</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26889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26889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69</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上海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12900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12900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26150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21873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浙江</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7053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7540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安徽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26655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24335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福建</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12265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10477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8780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8925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山东</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32270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32270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25320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25320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14720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15074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13780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9520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广东</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30855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30855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7690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7690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海南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3785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2560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重庆</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26574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26574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四川</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13636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12576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贵州</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12610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12610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云南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12710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12710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西藏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陕西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19730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23420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甘肃</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7435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7569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青海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1760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1760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宁夏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3580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3550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3619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9155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新疆生产建设兵团</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2645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w:t>
            </w:r>
          </w:p>
        </w:tc>
      </w:tr>
    </w:tbl>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24"/>
          <w:szCs w:val="24"/>
        </w:rPr>
        <w:lastRenderedPageBreak/>
        <w:t>附件5：</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36"/>
        </w:rPr>
        <w:t>“十二五”餐厨垃圾处理体系建设情况</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1158"/>
        <w:gridCol w:w="1696"/>
        <w:gridCol w:w="2504"/>
        <w:gridCol w:w="4092"/>
      </w:tblGrid>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序号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地区</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数量（座）</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处理能力（吨/日）</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全国</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242</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30215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北京</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2095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天津</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河北</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2240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山西</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内蒙古</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1170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辽宁</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1890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吉林</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黑龙江</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上海</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630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江苏</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浙江</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1925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安徽</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福建</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1250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江西</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330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山东</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890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河南</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1420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湖北</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湖南</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430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广东</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3990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广西</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740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海南</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重庆</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850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四川</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1160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贵州</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云南</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590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西藏</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陕西</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570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甘肃</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420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青海</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宁夏</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w:t>
            </w:r>
            <w:r w:rsidRPr="00E207D9">
              <w:rPr>
                <w:rFonts w:ascii="宋体" w:eastAsia="宋体" w:hAnsi="宋体" w:cs="宋体"/>
                <w:color w:val="000000"/>
                <w:kern w:val="0"/>
                <w:sz w:val="24"/>
                <w:szCs w:val="24"/>
              </w:rPr>
              <w:t xml:space="preserve"> </w:t>
            </w:r>
          </w:p>
        </w:tc>
        <w:tc>
          <w:tcPr>
            <w:tcW w:w="13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r w:rsidRPr="00E207D9">
              <w:rPr>
                <w:rFonts w:ascii="宋体" w:eastAsia="宋体" w:hAnsi="宋体" w:cs="宋体"/>
                <w:color w:val="000000"/>
                <w:kern w:val="0"/>
                <w:sz w:val="24"/>
                <w:szCs w:val="24"/>
              </w:rPr>
              <w:t xml:space="preserve"> </w:t>
            </w:r>
          </w:p>
        </w:tc>
        <w:tc>
          <w:tcPr>
            <w:tcW w:w="21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620</w:t>
            </w:r>
          </w:p>
        </w:tc>
      </w:tr>
    </w:tbl>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lastRenderedPageBreak/>
        <w:t xml:space="preserve">　　</w:t>
      </w:r>
      <w:r w:rsidRPr="00E207D9">
        <w:rPr>
          <w:rFonts w:ascii="宋体" w:eastAsia="宋体" w:hAnsi="宋体" w:cs="宋体" w:hint="eastAsia"/>
          <w:color w:val="000000"/>
          <w:kern w:val="0"/>
          <w:sz w:val="20"/>
          <w:szCs w:val="20"/>
        </w:rPr>
        <w:t>注：新疆生产建设兵团餐厨垃圾处理试点工作纳入新疆维吾尔自治区统筹推进。</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w:t>
      </w:r>
    </w:p>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24"/>
          <w:szCs w:val="24"/>
        </w:rPr>
        <w:t>附件6：</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b/>
          <w:bCs/>
          <w:color w:val="000000"/>
          <w:kern w:val="0"/>
          <w:sz w:val="36"/>
        </w:rPr>
        <w:t>“十二五”生活垃圾处理设施建设投资</w:t>
      </w:r>
    </w:p>
    <w:p w:rsidR="00E207D9" w:rsidRPr="00E207D9" w:rsidRDefault="00E207D9" w:rsidP="00E207D9">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xml:space="preserve">　　　　　　　　　　　　　　　　　　　　　　　　　　　　</w:t>
      </w:r>
      <w:r w:rsidRPr="00E207D9">
        <w:rPr>
          <w:rFonts w:ascii="宋体" w:eastAsia="宋体" w:hAnsi="宋体" w:cs="宋体" w:hint="eastAsia"/>
          <w:color w:val="000000"/>
          <w:kern w:val="0"/>
          <w:sz w:val="20"/>
          <w:szCs w:val="20"/>
        </w:rPr>
        <w:t>单位：亿元</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588"/>
        <w:gridCol w:w="2232"/>
        <w:gridCol w:w="1137"/>
        <w:gridCol w:w="1137"/>
        <w:gridCol w:w="589"/>
        <w:gridCol w:w="1137"/>
        <w:gridCol w:w="589"/>
        <w:gridCol w:w="589"/>
        <w:gridCol w:w="589"/>
        <w:gridCol w:w="863"/>
      </w:tblGrid>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序号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地区</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新建</w:t>
            </w:r>
            <w:r w:rsidRPr="00E207D9">
              <w:rPr>
                <w:rFonts w:ascii="宋体" w:eastAsia="宋体" w:hAnsi="宋体" w:cs="宋体"/>
                <w:color w:val="000000"/>
                <w:kern w:val="0"/>
                <w:sz w:val="20"/>
                <w:szCs w:val="20"/>
              </w:rPr>
              <w:br/>
              <w:t>处理设施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续建</w:t>
            </w:r>
            <w:r w:rsidRPr="00E207D9">
              <w:rPr>
                <w:rFonts w:ascii="宋体" w:eastAsia="宋体" w:hAnsi="宋体" w:cs="宋体"/>
                <w:color w:val="000000"/>
                <w:kern w:val="0"/>
                <w:sz w:val="20"/>
                <w:szCs w:val="20"/>
              </w:rPr>
              <w:br/>
              <w:t>处理设施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转运</w:t>
            </w:r>
            <w:r w:rsidRPr="00E207D9">
              <w:rPr>
                <w:rFonts w:ascii="宋体" w:eastAsia="宋体" w:hAnsi="宋体" w:cs="宋体"/>
                <w:color w:val="000000"/>
                <w:kern w:val="0"/>
                <w:sz w:val="20"/>
                <w:szCs w:val="20"/>
              </w:rPr>
              <w:br/>
              <w:t>设施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餐厨</w:t>
            </w:r>
            <w:r w:rsidRPr="00E207D9">
              <w:rPr>
                <w:rFonts w:ascii="宋体" w:eastAsia="宋体" w:hAnsi="宋体" w:cs="宋体"/>
                <w:color w:val="000000"/>
                <w:kern w:val="0"/>
                <w:sz w:val="20"/>
                <w:szCs w:val="20"/>
              </w:rPr>
              <w:br/>
              <w:t>处理设施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存量</w:t>
            </w:r>
            <w:r w:rsidRPr="00E207D9">
              <w:rPr>
                <w:rFonts w:ascii="宋体" w:eastAsia="宋体" w:hAnsi="宋体" w:cs="宋体"/>
                <w:color w:val="000000"/>
                <w:kern w:val="0"/>
                <w:sz w:val="20"/>
                <w:szCs w:val="20"/>
              </w:rPr>
              <w:br/>
              <w:t>治理</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分类</w:t>
            </w:r>
            <w:r w:rsidRPr="00E207D9">
              <w:rPr>
                <w:rFonts w:ascii="宋体" w:eastAsia="宋体" w:hAnsi="宋体" w:cs="宋体"/>
                <w:color w:val="000000"/>
                <w:kern w:val="0"/>
                <w:sz w:val="20"/>
                <w:szCs w:val="20"/>
              </w:rPr>
              <w:br/>
              <w:t>设施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监管</w:t>
            </w:r>
            <w:r w:rsidRPr="00E207D9">
              <w:rPr>
                <w:rFonts w:ascii="宋体" w:eastAsia="宋体" w:hAnsi="宋体" w:cs="宋体"/>
                <w:color w:val="000000"/>
                <w:kern w:val="0"/>
                <w:sz w:val="20"/>
                <w:szCs w:val="20"/>
              </w:rPr>
              <w:br/>
              <w:t>体系</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总投资</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全国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1385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351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2636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北京</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86.2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146.6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天津</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42.5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82.1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63.7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内蒙古</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61.3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辽宁</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53.8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123.7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吉林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69.6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黑龙江</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87.6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上海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90.8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122.8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88.8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134.3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浙江</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112.4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安徽</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68.0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福建</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40.7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93.6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江西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69.0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山东</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126.3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198.8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河南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41.2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91.3</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48.8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16.7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94.5</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湖南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48.5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99.8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广东</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159.8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271.4</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广西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50.9</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海南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重庆</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68.7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四川</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37.9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75.1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贵州</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14.4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9.2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66.6</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lastRenderedPageBreak/>
              <w:t>25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云南</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44.6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82.7</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西藏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13.8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陕西</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44.4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8.6</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85.2</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甘肃</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0.3</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38.1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青海</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8.9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19.1</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宁夏</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3.8</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2.9</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15.0</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31.1</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6.2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4.7</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55.8</w:t>
            </w:r>
          </w:p>
        </w:tc>
      </w:tr>
      <w:tr w:rsidR="00E207D9" w:rsidRPr="00E207D9">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32</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新疆生产建设兵团</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4.5</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2.4</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5.0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0.0</w:t>
            </w:r>
            <w:r w:rsidRPr="00E207D9">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207D9" w:rsidRPr="00E207D9" w:rsidRDefault="00E207D9" w:rsidP="00E207D9">
            <w:pPr>
              <w:widowControl/>
              <w:jc w:val="center"/>
              <w:rPr>
                <w:rFonts w:ascii="宋体" w:eastAsia="宋体" w:hAnsi="宋体" w:cs="宋体"/>
                <w:color w:val="000000"/>
                <w:kern w:val="0"/>
                <w:sz w:val="24"/>
                <w:szCs w:val="24"/>
              </w:rPr>
            </w:pPr>
            <w:r w:rsidRPr="00E207D9">
              <w:rPr>
                <w:rFonts w:ascii="宋体" w:eastAsia="宋体" w:hAnsi="宋体" w:cs="宋体"/>
                <w:color w:val="000000"/>
                <w:kern w:val="0"/>
                <w:sz w:val="20"/>
                <w:szCs w:val="20"/>
              </w:rPr>
              <w:t>12.3</w:t>
            </w:r>
          </w:p>
        </w:tc>
      </w:tr>
    </w:tbl>
    <w:p w:rsidR="00E207D9" w:rsidRPr="00E207D9" w:rsidRDefault="00E207D9" w:rsidP="00E207D9">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E207D9">
        <w:rPr>
          <w:rFonts w:ascii="宋体" w:eastAsia="宋体" w:hAnsi="宋体" w:cs="宋体" w:hint="eastAsia"/>
          <w:color w:val="000000"/>
          <w:kern w:val="0"/>
          <w:sz w:val="24"/>
          <w:szCs w:val="24"/>
        </w:rPr>
        <w:t xml:space="preserve">　　</w:t>
      </w:r>
      <w:r w:rsidRPr="00E207D9">
        <w:rPr>
          <w:rFonts w:ascii="宋体" w:eastAsia="宋体" w:hAnsi="宋体" w:cs="宋体" w:hint="eastAsia"/>
          <w:color w:val="000000"/>
          <w:kern w:val="0"/>
          <w:sz w:val="20"/>
          <w:szCs w:val="20"/>
        </w:rPr>
        <w:t>注：监管体系25亿元投资中含中央本级生活垃圾监管体系建设投资1亿元。</w:t>
      </w:r>
    </w:p>
    <w:p w:rsidR="00D73909" w:rsidRPr="00E207D9" w:rsidRDefault="00D73909"/>
    <w:sectPr w:rsidR="00D73909" w:rsidRPr="00E207D9" w:rsidSect="00D739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7D9"/>
    <w:rsid w:val="00055A2E"/>
    <w:rsid w:val="00063333"/>
    <w:rsid w:val="000A2AC0"/>
    <w:rsid w:val="00175115"/>
    <w:rsid w:val="00257D2F"/>
    <w:rsid w:val="00294F68"/>
    <w:rsid w:val="002A3429"/>
    <w:rsid w:val="00332530"/>
    <w:rsid w:val="003B53C2"/>
    <w:rsid w:val="003F091E"/>
    <w:rsid w:val="004038AD"/>
    <w:rsid w:val="0048453D"/>
    <w:rsid w:val="004B2FF9"/>
    <w:rsid w:val="004B5B9F"/>
    <w:rsid w:val="00523F6E"/>
    <w:rsid w:val="00533574"/>
    <w:rsid w:val="00585092"/>
    <w:rsid w:val="005B3FF9"/>
    <w:rsid w:val="005F0714"/>
    <w:rsid w:val="00682802"/>
    <w:rsid w:val="006C64C2"/>
    <w:rsid w:val="006C75BC"/>
    <w:rsid w:val="006D326F"/>
    <w:rsid w:val="006E6676"/>
    <w:rsid w:val="00745EE1"/>
    <w:rsid w:val="007D3A18"/>
    <w:rsid w:val="007F1E92"/>
    <w:rsid w:val="008D1C5D"/>
    <w:rsid w:val="00940156"/>
    <w:rsid w:val="00962A4A"/>
    <w:rsid w:val="0099762E"/>
    <w:rsid w:val="009A3232"/>
    <w:rsid w:val="009F2544"/>
    <w:rsid w:val="00A25C82"/>
    <w:rsid w:val="00A53ED5"/>
    <w:rsid w:val="00A8209F"/>
    <w:rsid w:val="00AB1142"/>
    <w:rsid w:val="00AB2DE1"/>
    <w:rsid w:val="00AE233D"/>
    <w:rsid w:val="00B072CB"/>
    <w:rsid w:val="00B2296D"/>
    <w:rsid w:val="00BF058E"/>
    <w:rsid w:val="00C3697C"/>
    <w:rsid w:val="00C725A4"/>
    <w:rsid w:val="00CA0DDB"/>
    <w:rsid w:val="00D0019D"/>
    <w:rsid w:val="00D73909"/>
    <w:rsid w:val="00D9102C"/>
    <w:rsid w:val="00DA0D2F"/>
    <w:rsid w:val="00E207D9"/>
    <w:rsid w:val="00EE2A9A"/>
    <w:rsid w:val="00F32FD0"/>
    <w:rsid w:val="00F774E4"/>
    <w:rsid w:val="00F81EC0"/>
    <w:rsid w:val="00FE5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07D9"/>
    <w:rPr>
      <w:strike w:val="0"/>
      <w:dstrike w:val="0"/>
      <w:color w:val="000000"/>
      <w:u w:val="none"/>
      <w:effect w:val="none"/>
    </w:rPr>
  </w:style>
  <w:style w:type="character" w:styleId="a4">
    <w:name w:val="FollowedHyperlink"/>
    <w:basedOn w:val="a0"/>
    <w:uiPriority w:val="99"/>
    <w:semiHidden/>
    <w:unhideWhenUsed/>
    <w:rsid w:val="00E207D9"/>
    <w:rPr>
      <w:strike w:val="0"/>
      <w:dstrike w:val="0"/>
      <w:color w:val="000000"/>
      <w:u w:val="none"/>
      <w:effect w:val="none"/>
    </w:rPr>
  </w:style>
  <w:style w:type="paragraph" w:customStyle="1" w:styleId="tit">
    <w:name w:val="tit"/>
    <w:basedOn w:val="a"/>
    <w:rsid w:val="00E207D9"/>
    <w:pPr>
      <w:widowControl/>
      <w:spacing w:before="100" w:beforeAutospacing="1" w:after="100" w:afterAutospacing="1" w:line="384" w:lineRule="auto"/>
      <w:jc w:val="left"/>
    </w:pPr>
    <w:rPr>
      <w:rFonts w:ascii="宋体" w:eastAsia="宋体" w:hAnsi="宋体" w:cs="宋体"/>
      <w:b/>
      <w:bCs/>
      <w:color w:val="AE1609"/>
      <w:kern w:val="0"/>
      <w:szCs w:val="21"/>
    </w:rPr>
  </w:style>
  <w:style w:type="paragraph" w:customStyle="1" w:styleId="txt12">
    <w:name w:val="txt12"/>
    <w:basedOn w:val="a"/>
    <w:rsid w:val="00E207D9"/>
    <w:pPr>
      <w:widowControl/>
      <w:spacing w:before="100" w:beforeAutospacing="1" w:after="100" w:afterAutospacing="1" w:line="312" w:lineRule="auto"/>
      <w:jc w:val="left"/>
    </w:pPr>
    <w:rPr>
      <w:rFonts w:ascii="宋体" w:eastAsia="宋体" w:hAnsi="宋体" w:cs="宋体"/>
      <w:color w:val="000000"/>
      <w:kern w:val="0"/>
      <w:sz w:val="18"/>
      <w:szCs w:val="18"/>
    </w:rPr>
  </w:style>
  <w:style w:type="paragraph" w:customStyle="1" w:styleId="txt12r">
    <w:name w:val="txt12r"/>
    <w:basedOn w:val="a"/>
    <w:rsid w:val="00E207D9"/>
    <w:pPr>
      <w:widowControl/>
      <w:spacing w:before="100" w:beforeAutospacing="1" w:after="100" w:afterAutospacing="1" w:line="312" w:lineRule="auto"/>
      <w:jc w:val="left"/>
    </w:pPr>
    <w:rPr>
      <w:rFonts w:ascii="宋体" w:eastAsia="宋体" w:hAnsi="宋体" w:cs="宋体"/>
      <w:color w:val="666666"/>
      <w:kern w:val="0"/>
      <w:sz w:val="18"/>
      <w:szCs w:val="18"/>
    </w:rPr>
  </w:style>
  <w:style w:type="paragraph" w:customStyle="1" w:styleId="rdate">
    <w:name w:val="rdate"/>
    <w:basedOn w:val="a"/>
    <w:rsid w:val="00E207D9"/>
    <w:pPr>
      <w:widowControl/>
      <w:spacing w:before="100" w:beforeAutospacing="1" w:after="100" w:afterAutospacing="1" w:line="280" w:lineRule="atLeast"/>
      <w:jc w:val="left"/>
    </w:pPr>
    <w:rPr>
      <w:rFonts w:ascii="Arial" w:eastAsia="宋体" w:hAnsi="Arial" w:cs="Arial"/>
      <w:color w:val="999999"/>
      <w:kern w:val="0"/>
      <w:szCs w:val="21"/>
    </w:rPr>
  </w:style>
  <w:style w:type="paragraph" w:customStyle="1" w:styleId="txt18">
    <w:name w:val="txt18"/>
    <w:basedOn w:val="a"/>
    <w:rsid w:val="00E207D9"/>
    <w:pPr>
      <w:widowControl/>
      <w:spacing w:before="100" w:beforeAutospacing="1" w:after="100" w:afterAutospacing="1" w:line="390" w:lineRule="atLeast"/>
      <w:jc w:val="left"/>
    </w:pPr>
    <w:rPr>
      <w:rFonts w:ascii="宋体" w:eastAsia="宋体" w:hAnsi="宋体" w:cs="宋体"/>
      <w:b/>
      <w:bCs/>
      <w:color w:val="003CC8"/>
      <w:kern w:val="0"/>
      <w:sz w:val="36"/>
      <w:szCs w:val="36"/>
    </w:rPr>
  </w:style>
  <w:style w:type="paragraph" w:customStyle="1" w:styleId="wht12">
    <w:name w:val="wht12"/>
    <w:basedOn w:val="a"/>
    <w:rsid w:val="00E207D9"/>
    <w:pPr>
      <w:widowControl/>
      <w:spacing w:before="100" w:beforeAutospacing="1" w:after="100" w:afterAutospacing="1" w:line="240" w:lineRule="atLeast"/>
      <w:jc w:val="left"/>
    </w:pPr>
    <w:rPr>
      <w:rFonts w:ascii="宋体" w:eastAsia="宋体" w:hAnsi="宋体" w:cs="宋体"/>
      <w:color w:val="FFFFFF"/>
      <w:kern w:val="0"/>
      <w:sz w:val="18"/>
      <w:szCs w:val="18"/>
    </w:rPr>
  </w:style>
  <w:style w:type="paragraph" w:customStyle="1" w:styleId="day">
    <w:name w:val="day"/>
    <w:basedOn w:val="a"/>
    <w:rsid w:val="00E207D9"/>
    <w:pPr>
      <w:widowControl/>
      <w:spacing w:before="100" w:beforeAutospacing="1" w:after="100" w:afterAutospacing="1" w:line="288" w:lineRule="auto"/>
      <w:jc w:val="left"/>
    </w:pPr>
    <w:rPr>
      <w:rFonts w:ascii="Verdana" w:eastAsia="宋体" w:hAnsi="Verdana" w:cs="宋体"/>
      <w:b/>
      <w:bCs/>
      <w:color w:val="666666"/>
      <w:kern w:val="0"/>
      <w:sz w:val="18"/>
      <w:szCs w:val="18"/>
    </w:rPr>
  </w:style>
  <w:style w:type="paragraph" w:customStyle="1" w:styleId="box">
    <w:name w:val="box"/>
    <w:basedOn w:val="a"/>
    <w:rsid w:val="00E207D9"/>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p1">
    <w:name w:val="p1"/>
    <w:basedOn w:val="a"/>
    <w:rsid w:val="00E207D9"/>
    <w:pPr>
      <w:widowControl/>
      <w:spacing w:before="100" w:beforeAutospacing="1" w:after="100" w:afterAutospacing="1" w:line="432" w:lineRule="auto"/>
      <w:jc w:val="left"/>
    </w:pPr>
    <w:rPr>
      <w:rFonts w:ascii="宋体" w:eastAsia="宋体" w:hAnsi="宋体" w:cs="宋体"/>
      <w:color w:val="000000"/>
      <w:kern w:val="0"/>
      <w:sz w:val="24"/>
      <w:szCs w:val="24"/>
    </w:rPr>
  </w:style>
  <w:style w:type="paragraph" w:customStyle="1" w:styleId="navy">
    <w:name w:val="navy"/>
    <w:basedOn w:val="a"/>
    <w:rsid w:val="00E207D9"/>
    <w:pPr>
      <w:widowControl/>
      <w:spacing w:before="100" w:beforeAutospacing="1" w:after="100" w:afterAutospacing="1" w:line="240" w:lineRule="atLeast"/>
      <w:jc w:val="left"/>
    </w:pPr>
    <w:rPr>
      <w:rFonts w:ascii="宋体" w:eastAsia="宋体" w:hAnsi="宋体" w:cs="宋体"/>
      <w:color w:val="003CC8"/>
      <w:kern w:val="0"/>
      <w:sz w:val="18"/>
      <w:szCs w:val="18"/>
    </w:rPr>
  </w:style>
  <w:style w:type="paragraph" w:customStyle="1" w:styleId="formt">
    <w:name w:val="formt"/>
    <w:basedOn w:val="a"/>
    <w:rsid w:val="00E207D9"/>
    <w:pPr>
      <w:widowControl/>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btn">
    <w:name w:val="btn"/>
    <w:basedOn w:val="a"/>
    <w:rsid w:val="00E207D9"/>
    <w:pPr>
      <w:widowControl/>
      <w:spacing w:before="100" w:beforeAutospacing="1" w:after="100" w:afterAutospacing="1" w:line="360" w:lineRule="auto"/>
      <w:jc w:val="left"/>
    </w:pPr>
    <w:rPr>
      <w:rFonts w:ascii="Arial" w:eastAsia="宋体" w:hAnsi="Arial" w:cs="Arial"/>
      <w:color w:val="000000"/>
      <w:kern w:val="0"/>
      <w:sz w:val="15"/>
      <w:szCs w:val="15"/>
    </w:rPr>
  </w:style>
  <w:style w:type="paragraph" w:customStyle="1" w:styleId="blue12">
    <w:name w:val="blue12"/>
    <w:basedOn w:val="a"/>
    <w:rsid w:val="00E207D9"/>
    <w:pPr>
      <w:widowControl/>
      <w:spacing w:before="100" w:beforeAutospacing="1" w:after="100" w:afterAutospacing="1" w:line="240" w:lineRule="atLeast"/>
      <w:jc w:val="left"/>
    </w:pPr>
    <w:rPr>
      <w:rFonts w:ascii="宋体" w:eastAsia="宋体" w:hAnsi="宋体" w:cs="宋体"/>
      <w:color w:val="0033CC"/>
      <w:kern w:val="0"/>
      <w:sz w:val="18"/>
      <w:szCs w:val="18"/>
    </w:rPr>
  </w:style>
  <w:style w:type="paragraph" w:customStyle="1" w:styleId="copyright">
    <w:name w:val="copyright"/>
    <w:basedOn w:val="a"/>
    <w:rsid w:val="00E207D9"/>
    <w:pPr>
      <w:widowControl/>
      <w:spacing w:before="100" w:beforeAutospacing="1" w:after="100" w:afterAutospacing="1"/>
      <w:jc w:val="left"/>
    </w:pPr>
    <w:rPr>
      <w:rFonts w:ascii="宋体" w:eastAsia="宋体" w:hAnsi="宋体" w:cs="宋体"/>
      <w:color w:val="1E1E1E"/>
      <w:kern w:val="0"/>
      <w:szCs w:val="21"/>
    </w:rPr>
  </w:style>
  <w:style w:type="paragraph" w:customStyle="1" w:styleId="xg">
    <w:name w:val="xg"/>
    <w:basedOn w:val="a"/>
    <w:rsid w:val="00E207D9"/>
    <w:pPr>
      <w:widowControl/>
      <w:spacing w:before="100" w:beforeAutospacing="1" w:after="100" w:afterAutospacing="1" w:line="312" w:lineRule="auto"/>
      <w:jc w:val="left"/>
    </w:pPr>
    <w:rPr>
      <w:rFonts w:ascii="宋体" w:eastAsia="宋体" w:hAnsi="宋体" w:cs="宋体"/>
      <w:color w:val="000000"/>
      <w:kern w:val="0"/>
      <w:szCs w:val="21"/>
    </w:rPr>
  </w:style>
  <w:style w:type="paragraph" w:customStyle="1" w:styleId="linkcss">
    <w:name w:val="link_css"/>
    <w:basedOn w:val="a"/>
    <w:rsid w:val="00E207D9"/>
    <w:pPr>
      <w:widowControl/>
      <w:spacing w:before="100" w:beforeAutospacing="1" w:after="100" w:afterAutospacing="1" w:line="225" w:lineRule="atLeast"/>
      <w:jc w:val="left"/>
    </w:pPr>
    <w:rPr>
      <w:rFonts w:ascii="宋体" w:eastAsia="宋体" w:hAnsi="宋体" w:cs="宋体"/>
      <w:color w:val="000000"/>
      <w:spacing w:val="15"/>
      <w:kern w:val="0"/>
      <w:sz w:val="18"/>
      <w:szCs w:val="18"/>
    </w:rPr>
  </w:style>
  <w:style w:type="paragraph" w:customStyle="1" w:styleId="blue120">
    <w:name w:val="blue12_"/>
    <w:basedOn w:val="a"/>
    <w:rsid w:val="00E207D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lue14">
    <w:name w:val="blue14_"/>
    <w:basedOn w:val="a"/>
    <w:rsid w:val="00E207D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lue140">
    <w:name w:val="blue14"/>
    <w:basedOn w:val="a"/>
    <w:rsid w:val="00E207D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lue14e">
    <w:name w:val="blue14_e"/>
    <w:basedOn w:val="a"/>
    <w:rsid w:val="00E207D9"/>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Normal (Web)"/>
    <w:basedOn w:val="a"/>
    <w:uiPriority w:val="99"/>
    <w:unhideWhenUsed/>
    <w:rsid w:val="00E207D9"/>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E207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hajincheng</dc:creator>
  <cp:keywords/>
  <dc:description/>
  <cp:lastModifiedBy>hajincheng</cp:lastModifiedBy>
  <cp:revision>1</cp:revision>
  <dcterms:created xsi:type="dcterms:W3CDTF">2012-10-08T05:36:00Z</dcterms:created>
  <dcterms:modified xsi:type="dcterms:W3CDTF">2012-10-08T05:36:00Z</dcterms:modified>
</cp:coreProperties>
</file>